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41789C9" w:rsidR="001915B6" w:rsidRPr="00583ADE" w:rsidRDefault="006923DC">
            <w:pPr>
              <w:rPr>
                <w:rFonts w:ascii="Calibri" w:hAnsi="Calibri" w:cs="Calibri"/>
                <w:szCs w:val="24"/>
              </w:rPr>
            </w:pPr>
            <w:bookmarkStart w:id="0" w:name="h.gjdgxs" w:colFirst="0" w:colLast="0"/>
            <w:bookmarkEnd w:id="0"/>
            <w:r>
              <w:rPr>
                <w:rFonts w:ascii="Calibri" w:hAnsi="Calibri" w:cs="Calibri"/>
                <w:szCs w:val="24"/>
              </w:rPr>
              <w:t>Emma Jackson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36B8E41E" w:rsidR="00ED1A5F" w:rsidRPr="00583ADE" w:rsidRDefault="006923DC">
            <w:pPr>
              <w:rPr>
                <w:rFonts w:ascii="Calibri" w:hAnsi="Calibri" w:cs="Calibri"/>
                <w:szCs w:val="24"/>
              </w:rPr>
            </w:pPr>
            <w:r>
              <w:rPr>
                <w:rFonts w:ascii="Calibri" w:hAnsi="Calibri" w:cs="Calibri"/>
                <w:szCs w:val="24"/>
              </w:rPr>
              <w:t xml:space="preserve">LinkedIn: </w:t>
            </w:r>
            <w:r w:rsidRPr="006923DC">
              <w:rPr>
                <w:rFonts w:ascii="Calibri" w:hAnsi="Calibri" w:cs="Calibri"/>
                <w:szCs w:val="24"/>
              </w:rPr>
              <w:t>www.linkedin.com/in/emm-jackson/</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08D77A0" w:rsidR="001915B6" w:rsidRPr="00583ADE" w:rsidRDefault="006923DC">
            <w:pPr>
              <w:rPr>
                <w:rFonts w:ascii="Calibri" w:hAnsi="Calibri" w:cs="Calibri"/>
                <w:szCs w:val="24"/>
              </w:rPr>
            </w:pPr>
            <w:bookmarkStart w:id="1" w:name="h.30j0zll" w:colFirst="0" w:colLast="0"/>
            <w:bookmarkEnd w:id="1"/>
            <w:r>
              <w:rPr>
                <w:rFonts w:ascii="Calibri" w:hAnsi="Calibri" w:cs="Calibri"/>
                <w:szCs w:val="24"/>
              </w:rPr>
              <w:t>University of Glasgow</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2C974C60" w:rsidR="001915B6" w:rsidRPr="006923DC" w:rsidRDefault="006923DC">
            <w:pPr>
              <w:rPr>
                <w:rFonts w:asciiTheme="minorHAnsi" w:hAnsiTheme="minorHAnsi" w:cstheme="minorHAnsi"/>
                <w:bCs/>
                <w:szCs w:val="24"/>
              </w:rPr>
            </w:pPr>
            <w:bookmarkStart w:id="2" w:name="h.1fob9te" w:colFirst="0" w:colLast="0"/>
            <w:bookmarkEnd w:id="2"/>
            <w:r w:rsidRPr="006923DC">
              <w:rPr>
                <w:rFonts w:asciiTheme="minorHAnsi" w:hAnsiTheme="minorHAnsi" w:cstheme="minorHAnsi"/>
                <w:bCs/>
                <w:szCs w:val="24"/>
              </w:rPr>
              <w:t xml:space="preserve">Public Engagement and Outreach Awards 2025/26 – Round 3 </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61916745" w14:textId="491A12A1" w:rsidR="00583ADE" w:rsidRDefault="006923DC" w:rsidP="006923DC">
            <w:pPr>
              <w:jc w:val="both"/>
              <w:rPr>
                <w:rFonts w:asciiTheme="minorHAnsi" w:hAnsiTheme="minorHAnsi" w:cstheme="minorHAnsi"/>
                <w:bCs/>
                <w:szCs w:val="24"/>
              </w:rPr>
            </w:pPr>
            <w:r w:rsidRPr="006923DC">
              <w:rPr>
                <w:rFonts w:ascii="Calibri" w:hAnsi="Calibri" w:cs="Calibri"/>
                <w:b/>
                <w:bCs/>
                <w:szCs w:val="24"/>
              </w:rPr>
              <w:t xml:space="preserve">The </w:t>
            </w:r>
            <w:r w:rsidRPr="006923DC">
              <w:rPr>
                <w:rFonts w:asciiTheme="minorHAnsi" w:hAnsiTheme="minorHAnsi" w:cstheme="minorHAnsi"/>
                <w:b/>
                <w:bCs/>
                <w:szCs w:val="24"/>
              </w:rPr>
              <w:t>Public Engagement and Outreach Award</w:t>
            </w:r>
            <w:r>
              <w:rPr>
                <w:rFonts w:asciiTheme="minorHAnsi" w:hAnsiTheme="minorHAnsi" w:cstheme="minorHAnsi"/>
                <w:bCs/>
                <w:szCs w:val="24"/>
              </w:rPr>
              <w:t xml:space="preserve"> (Round 3, 2026)</w:t>
            </w:r>
            <w:r w:rsidRPr="006923DC">
              <w:rPr>
                <w:rFonts w:asciiTheme="minorHAnsi" w:hAnsiTheme="minorHAnsi" w:cstheme="minorHAnsi"/>
                <w:bCs/>
                <w:szCs w:val="24"/>
              </w:rPr>
              <w:t xml:space="preserve"> </w:t>
            </w:r>
            <w:r>
              <w:rPr>
                <w:rFonts w:asciiTheme="minorHAnsi" w:hAnsiTheme="minorHAnsi" w:cstheme="minorHAnsi"/>
                <w:bCs/>
                <w:szCs w:val="24"/>
              </w:rPr>
              <w:t>was used to develop and deliver a series of tabletop activities at the Glasgow Science Festival (Glasgow, Scotland) on 8</w:t>
            </w:r>
            <w:r w:rsidRPr="006923DC">
              <w:rPr>
                <w:rFonts w:asciiTheme="minorHAnsi" w:hAnsiTheme="minorHAnsi" w:cstheme="minorHAnsi"/>
                <w:bCs/>
                <w:szCs w:val="24"/>
                <w:vertAlign w:val="superscript"/>
              </w:rPr>
              <w:t>th</w:t>
            </w:r>
            <w:r>
              <w:rPr>
                <w:rFonts w:asciiTheme="minorHAnsi" w:hAnsiTheme="minorHAnsi" w:cstheme="minorHAnsi"/>
                <w:bCs/>
                <w:szCs w:val="24"/>
              </w:rPr>
              <w:t xml:space="preserve"> and 9</w:t>
            </w:r>
            <w:r w:rsidRPr="006923DC">
              <w:rPr>
                <w:rFonts w:asciiTheme="minorHAnsi" w:hAnsiTheme="minorHAnsi" w:cstheme="minorHAnsi"/>
                <w:bCs/>
                <w:szCs w:val="24"/>
                <w:vertAlign w:val="superscript"/>
              </w:rPr>
              <w:t>th</w:t>
            </w:r>
            <w:r>
              <w:rPr>
                <w:rFonts w:asciiTheme="minorHAnsi" w:hAnsiTheme="minorHAnsi" w:cstheme="minorHAnsi"/>
                <w:bCs/>
                <w:szCs w:val="24"/>
              </w:rPr>
              <w:t xml:space="preserve"> June. The activities were designed to enhance public understanding of the nervous system through accessible, interactive engagement. </w:t>
            </w:r>
          </w:p>
          <w:p w14:paraId="06EA136C" w14:textId="77777777" w:rsidR="006923DC" w:rsidRDefault="006923DC" w:rsidP="006923DC">
            <w:pPr>
              <w:jc w:val="both"/>
              <w:rPr>
                <w:rFonts w:asciiTheme="minorHAnsi" w:hAnsiTheme="minorHAnsi" w:cstheme="minorHAnsi"/>
                <w:bCs/>
                <w:szCs w:val="24"/>
              </w:rPr>
            </w:pPr>
          </w:p>
          <w:p w14:paraId="40382607" w14:textId="0617091D" w:rsidR="006923DC" w:rsidRDefault="006923DC" w:rsidP="006923DC">
            <w:pPr>
              <w:jc w:val="both"/>
              <w:rPr>
                <w:rFonts w:asciiTheme="minorHAnsi" w:hAnsiTheme="minorHAnsi" w:cstheme="minorHAnsi"/>
                <w:bCs/>
                <w:szCs w:val="24"/>
              </w:rPr>
            </w:pPr>
            <w:r>
              <w:rPr>
                <w:rFonts w:asciiTheme="minorHAnsi" w:hAnsiTheme="minorHAnsi" w:cstheme="minorHAnsi"/>
                <w:bCs/>
                <w:szCs w:val="24"/>
              </w:rPr>
              <w:t xml:space="preserve">The funding supported the creation of both an interactive puzzle, and a hands-on craft activity which was delivered to several hundred participants over the course of two days. In addition, take away resource bags were developed for teachers to use in classroom settings, enabling the activities and learning to be extended beyond the event itself.  </w:t>
            </w:r>
          </w:p>
          <w:p w14:paraId="3B24D19E" w14:textId="77777777" w:rsidR="006923DC" w:rsidRDefault="006923DC" w:rsidP="006923DC">
            <w:pPr>
              <w:jc w:val="both"/>
              <w:rPr>
                <w:rFonts w:asciiTheme="minorHAnsi" w:hAnsiTheme="minorHAnsi" w:cstheme="minorHAnsi"/>
                <w:bCs/>
                <w:szCs w:val="24"/>
              </w:rPr>
            </w:pPr>
          </w:p>
          <w:p w14:paraId="33AB6587" w14:textId="7E4EDABB" w:rsidR="006923DC" w:rsidRPr="006923DC" w:rsidRDefault="006923DC" w:rsidP="006923DC">
            <w:pPr>
              <w:jc w:val="both"/>
              <w:rPr>
                <w:rFonts w:asciiTheme="minorHAnsi" w:hAnsiTheme="minorHAnsi" w:cstheme="minorHAnsi"/>
                <w:bCs/>
                <w:szCs w:val="24"/>
              </w:rPr>
            </w:pPr>
            <w:r>
              <w:rPr>
                <w:rFonts w:asciiTheme="minorHAnsi" w:hAnsiTheme="minorHAnsi" w:cstheme="minorHAnsi"/>
                <w:bCs/>
                <w:szCs w:val="24"/>
              </w:rPr>
              <w:t xml:space="preserve">The award also contributed towards subsistence for undergraduate student volunteers, supporting their participation in the delivery of the activities.  </w:t>
            </w: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commentRangeStart w:id="3"/>
            <w:r w:rsidRPr="00583ADE">
              <w:rPr>
                <w:rFonts w:ascii="Calibri" w:eastAsia="Questrial" w:hAnsi="Calibri" w:cs="Calibri"/>
                <w:szCs w:val="24"/>
              </w:rPr>
              <w:t>REPORT</w:t>
            </w:r>
            <w:commentRangeEnd w:id="3"/>
            <w:r w:rsidR="006923DC" w:rsidRPr="00583ADE">
              <w:rPr>
                <w:rStyle w:val="CommentReference"/>
                <w:rFonts w:ascii="Calibri" w:eastAsia="Questrial" w:hAnsi="Calibri" w:cs="Calibri"/>
                <w:sz w:val="24"/>
                <w:szCs w:val="24"/>
              </w:rPr>
              <w:commentReference w:id="3"/>
            </w:r>
            <w:r w:rsidRPr="00583ADE">
              <w:rPr>
                <w:rFonts w:ascii="Calibri" w:eastAsia="Questrial" w:hAnsi="Calibri" w:cs="Calibri"/>
                <w:szCs w:val="24"/>
              </w:rPr>
              <w: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6939348D" w14:textId="7EDD15F1" w:rsidR="006923DC" w:rsidRDefault="006923DC" w:rsidP="006923DC">
            <w:pPr>
              <w:pStyle w:val="NormalWeb"/>
              <w:spacing w:before="0" w:beforeAutospacing="0" w:after="0" w:afterAutospacing="0"/>
              <w:jc w:val="both"/>
              <w:rPr>
                <w:rFonts w:ascii="Calibri" w:hAnsi="Calibri" w:cs="Calibri"/>
              </w:rPr>
            </w:pPr>
            <w:bookmarkStart w:id="4" w:name="h.2et92p0" w:colFirst="0" w:colLast="0"/>
            <w:bookmarkEnd w:id="4"/>
            <w:r w:rsidRPr="006923DC">
              <w:rPr>
                <w:rFonts w:ascii="Calibri" w:hAnsi="Calibri" w:cs="Calibri"/>
              </w:rPr>
              <w:t xml:space="preserve">The objective of this project was to </w:t>
            </w:r>
            <w:r w:rsidRPr="006923DC">
              <w:rPr>
                <w:rStyle w:val="Strong"/>
                <w:rFonts w:ascii="Calibri" w:hAnsi="Calibri" w:cs="Calibri"/>
                <w:b w:val="0"/>
                <w:bCs w:val="0"/>
              </w:rPr>
              <w:t>develop public understanding of the anatomy of the nervous system through simple, interactive activities.</w:t>
            </w:r>
            <w:r w:rsidRPr="006923DC">
              <w:rPr>
                <w:rFonts w:ascii="Calibri" w:hAnsi="Calibri" w:cs="Calibri"/>
              </w:rPr>
              <w:t xml:space="preserve"> The activities aimed to introduce key concepts in brain structure and function to a broad public audience, including school pupils, families, and individuals without a background in anatomy</w:t>
            </w:r>
            <w:r>
              <w:rPr>
                <w:rFonts w:ascii="Calibri" w:hAnsi="Calibri" w:cs="Calibri"/>
              </w:rPr>
              <w:t xml:space="preserve"> or neuroscience. </w:t>
            </w:r>
          </w:p>
          <w:p w14:paraId="6A4FBC4D" w14:textId="77777777" w:rsidR="006923DC" w:rsidRPr="006923DC" w:rsidRDefault="006923DC" w:rsidP="006923DC">
            <w:pPr>
              <w:pStyle w:val="NormalWeb"/>
              <w:spacing w:before="0" w:beforeAutospacing="0" w:after="0" w:afterAutospacing="0"/>
              <w:jc w:val="both"/>
              <w:rPr>
                <w:rFonts w:ascii="Calibri" w:hAnsi="Calibri" w:cs="Calibri"/>
              </w:rPr>
            </w:pPr>
          </w:p>
          <w:p w14:paraId="7D3AC128" w14:textId="6DB00423" w:rsidR="006923DC" w:rsidRPr="006923DC" w:rsidRDefault="006923DC" w:rsidP="006923DC">
            <w:pPr>
              <w:pStyle w:val="NormalWeb"/>
              <w:numPr>
                <w:ilvl w:val="0"/>
                <w:numId w:val="2"/>
              </w:numPr>
              <w:spacing w:before="0" w:beforeAutospacing="0" w:after="0" w:afterAutospacing="0"/>
              <w:jc w:val="both"/>
              <w:rPr>
                <w:rFonts w:ascii="Calibri" w:hAnsi="Calibri" w:cs="Calibri"/>
              </w:rPr>
            </w:pPr>
            <w:r w:rsidRPr="006923DC">
              <w:rPr>
                <w:rFonts w:ascii="Calibri" w:hAnsi="Calibri" w:cs="Calibri"/>
              </w:rPr>
              <w:t xml:space="preserve">The first objective was to introduce the gross anatomy of the brain, </w:t>
            </w:r>
            <w:r w:rsidRPr="006923DC">
              <w:rPr>
                <w:rFonts w:ascii="Calibri" w:hAnsi="Calibri" w:cs="Calibri"/>
                <w:color w:val="000000" w:themeColor="text1"/>
              </w:rPr>
              <w:t>helping participants recognise major brain regions and understand how different areas contribute to different functions</w:t>
            </w:r>
          </w:p>
          <w:p w14:paraId="1D826C70" w14:textId="6FE5CD9D" w:rsidR="006923DC" w:rsidRPr="006923DC" w:rsidRDefault="006923DC" w:rsidP="006923DC">
            <w:pPr>
              <w:pStyle w:val="NormalWeb"/>
              <w:numPr>
                <w:ilvl w:val="0"/>
                <w:numId w:val="2"/>
              </w:numPr>
              <w:spacing w:after="0" w:afterAutospacing="0"/>
              <w:jc w:val="both"/>
              <w:rPr>
                <w:rFonts w:ascii="Calibri" w:hAnsi="Calibri" w:cs="Calibri"/>
              </w:rPr>
            </w:pPr>
            <w:r w:rsidRPr="006923DC">
              <w:rPr>
                <w:rFonts w:ascii="Calibri" w:hAnsi="Calibri" w:cs="Calibri"/>
              </w:rPr>
              <w:t xml:space="preserve">The second objective was to introduce the microscopic structure of nervous tissue, </w:t>
            </w:r>
            <w:r w:rsidRPr="006923DC">
              <w:rPr>
                <w:rFonts w:ascii="Calibri" w:hAnsi="Calibri" w:cs="Calibri"/>
                <w:color w:val="000000" w:themeColor="text1"/>
              </w:rPr>
              <w:t>demonstrating how neurons form the fundamental building blocks of the nervous system and how specialised cells support neural communication</w:t>
            </w:r>
          </w:p>
          <w:p w14:paraId="75FD060F" w14:textId="0851D1BF" w:rsidR="006923DC" w:rsidRPr="006923DC" w:rsidRDefault="006923DC" w:rsidP="006923DC">
            <w:pPr>
              <w:pStyle w:val="NormalWeb"/>
              <w:numPr>
                <w:ilvl w:val="0"/>
                <w:numId w:val="2"/>
              </w:numPr>
              <w:spacing w:after="0" w:afterAutospacing="0"/>
              <w:jc w:val="both"/>
              <w:rPr>
                <w:rFonts w:ascii="Calibri" w:hAnsi="Calibri" w:cs="Calibri"/>
              </w:rPr>
            </w:pPr>
            <w:r w:rsidRPr="006923DC">
              <w:rPr>
                <w:rFonts w:ascii="Calibri" w:hAnsi="Calibri" w:cs="Calibri"/>
              </w:rPr>
              <w:t xml:space="preserve">The third objective </w:t>
            </w:r>
            <w:r>
              <w:rPr>
                <w:rFonts w:ascii="Calibri" w:hAnsi="Calibri" w:cs="Calibri"/>
              </w:rPr>
              <w:t>was</w:t>
            </w:r>
            <w:r w:rsidRPr="006923DC">
              <w:rPr>
                <w:rFonts w:ascii="Calibri" w:hAnsi="Calibri" w:cs="Calibri"/>
              </w:rPr>
              <w:t xml:space="preserve"> to enable participants to observe real-time changes in brain activity under different conditions (e.g. rela</w:t>
            </w:r>
            <w:r>
              <w:rPr>
                <w:rFonts w:ascii="Calibri" w:hAnsi="Calibri" w:cs="Calibri"/>
              </w:rPr>
              <w:t>xed, eyes closed</w:t>
            </w:r>
            <w:r w:rsidRPr="006923DC">
              <w:rPr>
                <w:rFonts w:ascii="Calibri" w:hAnsi="Calibri" w:cs="Calibri"/>
              </w:rPr>
              <w:t xml:space="preserve"> and movement), helping them connect neural function to everyday experiences</w:t>
            </w:r>
          </w:p>
          <w:p w14:paraId="39511AEB" w14:textId="77777777" w:rsidR="006923DC" w:rsidRDefault="006923DC" w:rsidP="006923DC">
            <w:pPr>
              <w:pStyle w:val="NormalWeb"/>
              <w:numPr>
                <w:ilvl w:val="0"/>
                <w:numId w:val="2"/>
              </w:numPr>
              <w:spacing w:after="0" w:afterAutospacing="0"/>
              <w:rPr>
                <w:rFonts w:ascii="Calibri" w:hAnsi="Calibri" w:cs="Calibri"/>
              </w:rPr>
            </w:pPr>
            <w:r w:rsidRPr="006923DC">
              <w:rPr>
                <w:rFonts w:ascii="Calibri" w:hAnsi="Calibri" w:cs="Calibri"/>
              </w:rPr>
              <w:lastRenderedPageBreak/>
              <w:t>The final objective focus</w:t>
            </w:r>
            <w:r>
              <w:rPr>
                <w:rFonts w:ascii="Calibri" w:hAnsi="Calibri" w:cs="Calibri"/>
              </w:rPr>
              <w:t>ed</w:t>
            </w:r>
            <w:r w:rsidRPr="006923DC">
              <w:rPr>
                <w:rFonts w:ascii="Calibri" w:hAnsi="Calibri" w:cs="Calibri"/>
              </w:rPr>
              <w:t xml:space="preserve"> on developing student engagement skills in science communication and public engagement, with a focus on translating complex concepts into educational activities for lay audiences</w:t>
            </w:r>
          </w:p>
          <w:p w14:paraId="15D1EBE1" w14:textId="77777777" w:rsidR="006923DC" w:rsidRDefault="006923DC" w:rsidP="006923DC">
            <w:pPr>
              <w:pStyle w:val="NormalWeb"/>
              <w:spacing w:before="0" w:beforeAutospacing="0" w:after="0" w:afterAutospacing="0"/>
              <w:rPr>
                <w:rFonts w:ascii="Calibri" w:hAnsi="Calibri" w:cs="Calibri"/>
              </w:rPr>
            </w:pPr>
          </w:p>
          <w:p w14:paraId="1388E86A" w14:textId="0328027A" w:rsidR="006923DC" w:rsidRDefault="006923DC" w:rsidP="006923DC">
            <w:pPr>
              <w:pStyle w:val="NormalWeb"/>
              <w:spacing w:before="0" w:beforeAutospacing="0" w:after="0" w:afterAutospacing="0"/>
              <w:jc w:val="both"/>
              <w:rPr>
                <w:rFonts w:ascii="Calibri" w:hAnsi="Calibri" w:cs="Calibri"/>
              </w:rPr>
            </w:pPr>
            <w:r w:rsidRPr="006923DC">
              <w:rPr>
                <w:rFonts w:ascii="Calibri" w:hAnsi="Calibri" w:cs="Calibri"/>
              </w:rPr>
              <w:t xml:space="preserve">Overall, the activities were highly successful and effectively met these objectives. The gross anatomy component was particularly engaging, with the puzzle and anatomical models supporting spatial understanding, complemented by “brain hats” that helped participants identify key </w:t>
            </w:r>
            <w:r>
              <w:rPr>
                <w:rFonts w:ascii="Calibri" w:hAnsi="Calibri" w:cs="Calibri"/>
              </w:rPr>
              <w:t xml:space="preserve">brain </w:t>
            </w:r>
            <w:r w:rsidRPr="006923DC">
              <w:rPr>
                <w:rFonts w:ascii="Calibri" w:hAnsi="Calibri" w:cs="Calibri"/>
              </w:rPr>
              <w:t>regions</w:t>
            </w:r>
            <w:r>
              <w:rPr>
                <w:rFonts w:ascii="Calibri" w:hAnsi="Calibri" w:cs="Calibri"/>
              </w:rPr>
              <w:t xml:space="preserve"> in a fun format. </w:t>
            </w:r>
          </w:p>
          <w:p w14:paraId="379ADA23" w14:textId="77777777" w:rsidR="006923DC" w:rsidRDefault="006923DC" w:rsidP="006923DC">
            <w:pPr>
              <w:pStyle w:val="NormalWeb"/>
              <w:spacing w:before="0" w:beforeAutospacing="0" w:after="0" w:afterAutospacing="0"/>
              <w:jc w:val="both"/>
              <w:rPr>
                <w:rFonts w:ascii="Calibri" w:hAnsi="Calibri" w:cs="Calibri"/>
              </w:rPr>
            </w:pPr>
          </w:p>
          <w:p w14:paraId="3F4A895E" w14:textId="13488605" w:rsidR="006923DC" w:rsidRPr="006923DC" w:rsidRDefault="006923DC" w:rsidP="006923DC">
            <w:pPr>
              <w:pStyle w:val="NormalWeb"/>
              <w:spacing w:before="0" w:beforeAutospacing="0" w:after="0" w:afterAutospacing="0"/>
              <w:jc w:val="both"/>
              <w:rPr>
                <w:rFonts w:ascii="Calibri" w:hAnsi="Calibri" w:cs="Calibri"/>
              </w:rPr>
            </w:pPr>
            <w:r w:rsidRPr="006923DC">
              <w:rPr>
                <w:rFonts w:ascii="Calibri" w:hAnsi="Calibri" w:cs="Calibri"/>
              </w:rPr>
              <w:t>The neuron activity was especially well received, with consistently high engagement across both days and materials nearly exhausted by the end of the event. Take-away resource bags</w:t>
            </w:r>
            <w:r>
              <w:rPr>
                <w:rFonts w:ascii="Calibri" w:hAnsi="Calibri" w:cs="Calibri"/>
              </w:rPr>
              <w:t xml:space="preserve"> (including build a neuron kit and brain hats)</w:t>
            </w:r>
            <w:r w:rsidRPr="006923DC">
              <w:rPr>
                <w:rFonts w:ascii="Calibri" w:hAnsi="Calibri" w:cs="Calibri"/>
              </w:rPr>
              <w:t xml:space="preserve"> for</w:t>
            </w:r>
            <w:r>
              <w:rPr>
                <w:rFonts w:ascii="Calibri" w:hAnsi="Calibri" w:cs="Calibri"/>
              </w:rPr>
              <w:t xml:space="preserve"> school</w:t>
            </w:r>
            <w:r w:rsidRPr="006923DC">
              <w:rPr>
                <w:rFonts w:ascii="Calibri" w:hAnsi="Calibri" w:cs="Calibri"/>
              </w:rPr>
              <w:t>teachers enabled continued classroom use</w:t>
            </w:r>
            <w:r>
              <w:rPr>
                <w:rFonts w:ascii="Calibri" w:hAnsi="Calibri" w:cs="Calibri"/>
              </w:rPr>
              <w:t xml:space="preserve">. </w:t>
            </w:r>
          </w:p>
          <w:p w14:paraId="5079E946" w14:textId="77777777" w:rsidR="006923DC" w:rsidRDefault="006923DC" w:rsidP="006923DC">
            <w:pPr>
              <w:pStyle w:val="NormalWeb"/>
              <w:spacing w:before="0" w:beforeAutospacing="0" w:after="0" w:afterAutospacing="0"/>
              <w:jc w:val="both"/>
              <w:rPr>
                <w:rFonts w:ascii="Calibri" w:hAnsi="Calibri" w:cs="Calibri"/>
              </w:rPr>
            </w:pPr>
          </w:p>
          <w:p w14:paraId="0B102FD5" w14:textId="71B25909" w:rsidR="006923DC" w:rsidRDefault="006923DC" w:rsidP="006923DC">
            <w:pPr>
              <w:pStyle w:val="NormalWeb"/>
              <w:spacing w:before="0" w:beforeAutospacing="0" w:after="0" w:afterAutospacing="0"/>
              <w:jc w:val="both"/>
              <w:rPr>
                <w:rFonts w:ascii="Calibri" w:hAnsi="Calibri" w:cs="Calibri"/>
              </w:rPr>
            </w:pPr>
            <w:r w:rsidRPr="006923DC">
              <w:rPr>
                <w:rFonts w:ascii="Calibri" w:hAnsi="Calibri" w:cs="Calibri"/>
              </w:rPr>
              <w:t>The final activity evolved into a brainwave demonstration, allowing participants to observe changes in brain activity in real time. Developed collaboratively, this addition introduced a dynamic and memorable element to the programme</w:t>
            </w:r>
            <w:r>
              <w:rPr>
                <w:rFonts w:ascii="Calibri" w:hAnsi="Calibri" w:cs="Calibri"/>
              </w:rPr>
              <w:t xml:space="preserve"> that was well received by adult visitors. </w:t>
            </w:r>
          </w:p>
          <w:p w14:paraId="7482EED8" w14:textId="77777777" w:rsidR="006923DC" w:rsidRDefault="006923DC" w:rsidP="006923DC">
            <w:pPr>
              <w:pStyle w:val="NormalWeb"/>
              <w:spacing w:before="0" w:beforeAutospacing="0" w:after="0" w:afterAutospacing="0"/>
              <w:jc w:val="both"/>
              <w:rPr>
                <w:rFonts w:ascii="Calibri" w:hAnsi="Calibri" w:cs="Calibri"/>
              </w:rPr>
            </w:pPr>
          </w:p>
          <w:p w14:paraId="06632D0E" w14:textId="789BB164" w:rsidR="001915B6" w:rsidRPr="006923DC" w:rsidRDefault="006923DC" w:rsidP="006923DC">
            <w:pPr>
              <w:pStyle w:val="NormalWeb"/>
              <w:spacing w:before="0" w:beforeAutospacing="0" w:after="0" w:afterAutospacing="0"/>
              <w:jc w:val="both"/>
              <w:rPr>
                <w:rFonts w:ascii="Calibri" w:hAnsi="Calibri" w:cs="Calibri"/>
              </w:rPr>
            </w:pPr>
            <w:r w:rsidRPr="006923DC">
              <w:rPr>
                <w:rFonts w:ascii="Calibri" w:hAnsi="Calibri" w:cs="Calibri"/>
              </w:rPr>
              <w:t>Undergraduate volunteers also benefited significantly, gaining confidence in communicating complex concepts to non-specialist audiences. The project further provided an opportunity to explore the impact of public engagement on student communication skills, adding a</w:t>
            </w:r>
            <w:r>
              <w:rPr>
                <w:rFonts w:ascii="Calibri" w:hAnsi="Calibri" w:cs="Calibri"/>
              </w:rPr>
              <w:t xml:space="preserve"> valuable scholarship</w:t>
            </w:r>
            <w:r w:rsidRPr="006923DC">
              <w:rPr>
                <w:rFonts w:ascii="Calibri" w:hAnsi="Calibri" w:cs="Calibri"/>
              </w:rPr>
              <w:t xml:space="preserve"> </w:t>
            </w:r>
            <w:r>
              <w:rPr>
                <w:rFonts w:ascii="Calibri" w:hAnsi="Calibri" w:cs="Calibri"/>
              </w:rPr>
              <w:t>dimension to the event.</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commentRangeStart w:id="5"/>
            <w:r w:rsidRPr="00583ADE">
              <w:rPr>
                <w:rFonts w:ascii="Calibri" w:eastAsia="Questrial" w:hAnsi="Calibri" w:cs="Calibri"/>
                <w:szCs w:val="24"/>
              </w:rPr>
              <w:lastRenderedPageBreak/>
              <w:t>COMMENTS</w:t>
            </w:r>
            <w:commentRangeEnd w:id="5"/>
            <w:r w:rsidR="006923DC" w:rsidRPr="00583ADE">
              <w:rPr>
                <w:rStyle w:val="CommentReference"/>
                <w:rFonts w:ascii="Calibri" w:eastAsia="Questrial" w:hAnsi="Calibri" w:cs="Calibri"/>
                <w:sz w:val="24"/>
                <w:szCs w:val="24"/>
              </w:rPr>
              <w:commentReference w:id="5"/>
            </w:r>
            <w:r w:rsidRPr="00583ADE">
              <w:rPr>
                <w:rFonts w:ascii="Calibri" w:eastAsia="Questrial" w:hAnsi="Calibri" w:cs="Calibri"/>
                <w:szCs w:val="24"/>
              </w:rPr>
              <w:t>: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6923DC">
        <w:trPr>
          <w:trHeight w:val="962"/>
        </w:trPr>
        <w:tc>
          <w:tcPr>
            <w:tcW w:w="10784" w:type="dxa"/>
            <w:gridSpan w:val="5"/>
            <w:shd w:val="clear" w:color="auto" w:fill="FFFFFF"/>
          </w:tcPr>
          <w:p w14:paraId="2C292ECE" w14:textId="1AEABDF4" w:rsidR="006923DC" w:rsidRDefault="006923DC" w:rsidP="006923DC">
            <w:pPr>
              <w:jc w:val="both"/>
              <w:rPr>
                <w:rFonts w:ascii="Calibri" w:hAnsi="Calibri" w:cs="Calibri"/>
                <w:szCs w:val="24"/>
              </w:rPr>
            </w:pPr>
            <w:bookmarkStart w:id="6" w:name="h.tyjcwt" w:colFirst="0" w:colLast="0"/>
            <w:bookmarkEnd w:id="6"/>
            <w:r w:rsidRPr="006923DC">
              <w:rPr>
                <w:rFonts w:ascii="Calibri" w:hAnsi="Calibri" w:cs="Calibri"/>
                <w:szCs w:val="24"/>
              </w:rPr>
              <w:t>The Glasgow Science Festival</w:t>
            </w:r>
            <w:r>
              <w:rPr>
                <w:rFonts w:ascii="Calibri" w:hAnsi="Calibri" w:cs="Calibri"/>
                <w:szCs w:val="24"/>
              </w:rPr>
              <w:t xml:space="preserve"> is a city-wide event delivered across multiple venues, attracting diverse audiences from across Glasgow. Our activities were based at the </w:t>
            </w:r>
            <w:r w:rsidRPr="006923DC">
              <w:rPr>
                <w:rFonts w:ascii="Calibri" w:hAnsi="Calibri" w:cs="Calibri"/>
                <w:szCs w:val="24"/>
              </w:rPr>
              <w:t xml:space="preserve">Glasgow Botanic Gardens, </w:t>
            </w:r>
            <w:r>
              <w:rPr>
                <w:rFonts w:ascii="Calibri" w:hAnsi="Calibri" w:cs="Calibri"/>
                <w:szCs w:val="24"/>
              </w:rPr>
              <w:t xml:space="preserve">a high-footfall location that naturally draws families, school groups and members of the public throughout the day. This setting provided an ideal environment for interactive engagement, particularly with younger audiences who were able to explore the activities in a relaxed and informal space. The proximity of the Botanic Gardens to the University of Glasgow also offered a valuable opportunity to represent our teaching cohort within the local community, strengthening connections between the university and public audiences. </w:t>
            </w:r>
          </w:p>
          <w:p w14:paraId="1FFCA56D" w14:textId="77777777" w:rsidR="006923DC" w:rsidRDefault="006923DC" w:rsidP="006923DC">
            <w:pPr>
              <w:jc w:val="both"/>
              <w:rPr>
                <w:rFonts w:ascii="Calibri" w:hAnsi="Calibri" w:cs="Calibri"/>
                <w:szCs w:val="24"/>
              </w:rPr>
            </w:pPr>
          </w:p>
          <w:p w14:paraId="7B35675A" w14:textId="3DEA9B3F" w:rsidR="006923DC" w:rsidRDefault="006923DC" w:rsidP="006923DC">
            <w:pPr>
              <w:jc w:val="both"/>
              <w:rPr>
                <w:rFonts w:ascii="Calibri" w:hAnsi="Calibri" w:cs="Calibri"/>
                <w:szCs w:val="24"/>
              </w:rPr>
            </w:pPr>
            <w:r w:rsidRPr="006923DC">
              <w:rPr>
                <w:rFonts w:ascii="Calibri" w:hAnsi="Calibri" w:cs="Calibri"/>
                <w:szCs w:val="24"/>
              </w:rPr>
              <w:t>The undergraduate student volunteers played a key role in the success of the event. They demonstrated enthusiasm and confidence in engaging with participants, and their feedback reflected a positive experience, with comments such as “</w:t>
            </w:r>
            <w:r w:rsidRPr="006923DC">
              <w:rPr>
                <w:rFonts w:ascii="Calibri" w:hAnsi="Calibri" w:cs="Calibri"/>
                <w:i/>
                <w:iCs/>
                <w:szCs w:val="24"/>
              </w:rPr>
              <w:t>I thoroughly enjoyed and felt it was a great experience</w:t>
            </w:r>
            <w:r w:rsidRPr="006923DC">
              <w:rPr>
                <w:rFonts w:ascii="Calibri" w:hAnsi="Calibri" w:cs="Calibri"/>
                <w:szCs w:val="24"/>
              </w:rPr>
              <w:t>” and “</w:t>
            </w:r>
            <w:r w:rsidRPr="006923DC">
              <w:rPr>
                <w:rFonts w:ascii="Calibri" w:hAnsi="Calibri" w:cs="Calibri"/>
                <w:i/>
                <w:iCs/>
                <w:szCs w:val="24"/>
              </w:rPr>
              <w:t>The activity was very fun, and I am glad I was able to contribute</w:t>
            </w:r>
            <w:r w:rsidRPr="006923DC">
              <w:rPr>
                <w:rFonts w:ascii="Calibri" w:hAnsi="Calibri" w:cs="Calibri"/>
                <w:szCs w:val="24"/>
              </w:rPr>
              <w:t>.” Their involvement also allowed</w:t>
            </w:r>
            <w:r>
              <w:rPr>
                <w:rFonts w:ascii="Calibri" w:hAnsi="Calibri" w:cs="Calibri"/>
                <w:szCs w:val="24"/>
              </w:rPr>
              <w:t xml:space="preserve"> the lead coordinator time</w:t>
            </w:r>
            <w:r w:rsidRPr="006923DC">
              <w:rPr>
                <w:rFonts w:ascii="Calibri" w:hAnsi="Calibri" w:cs="Calibri"/>
                <w:szCs w:val="24"/>
              </w:rPr>
              <w:t xml:space="preserve"> for valuable conversations with </w:t>
            </w:r>
            <w:r>
              <w:rPr>
                <w:rFonts w:ascii="Calibri" w:hAnsi="Calibri" w:cs="Calibri"/>
                <w:szCs w:val="24"/>
              </w:rPr>
              <w:t>school</w:t>
            </w:r>
            <w:r w:rsidRPr="006923DC">
              <w:rPr>
                <w:rFonts w:ascii="Calibri" w:hAnsi="Calibri" w:cs="Calibri"/>
                <w:szCs w:val="24"/>
              </w:rPr>
              <w:t xml:space="preserve">teachers, parents, and </w:t>
            </w:r>
            <w:r>
              <w:rPr>
                <w:rFonts w:ascii="Calibri" w:hAnsi="Calibri" w:cs="Calibri"/>
                <w:szCs w:val="24"/>
              </w:rPr>
              <w:t>visitors</w:t>
            </w:r>
            <w:r w:rsidRPr="006923DC">
              <w:rPr>
                <w:rFonts w:ascii="Calibri" w:hAnsi="Calibri" w:cs="Calibri"/>
                <w:szCs w:val="24"/>
              </w:rPr>
              <w:t xml:space="preserve">, offering insights into how children engage with </w:t>
            </w:r>
            <w:r>
              <w:rPr>
                <w:rFonts w:ascii="Calibri" w:hAnsi="Calibri" w:cs="Calibri"/>
                <w:szCs w:val="24"/>
              </w:rPr>
              <w:t>STEM</w:t>
            </w:r>
            <w:r w:rsidRPr="006923DC">
              <w:rPr>
                <w:rFonts w:ascii="Calibri" w:hAnsi="Calibri" w:cs="Calibri"/>
                <w:szCs w:val="24"/>
              </w:rPr>
              <w:t xml:space="preserve"> beyond festival settings. </w:t>
            </w:r>
          </w:p>
          <w:p w14:paraId="40411C05" w14:textId="77777777" w:rsidR="006923DC" w:rsidRDefault="006923DC" w:rsidP="006923DC">
            <w:pPr>
              <w:jc w:val="both"/>
              <w:rPr>
                <w:rFonts w:ascii="Calibri" w:hAnsi="Calibri" w:cs="Calibri"/>
                <w:szCs w:val="24"/>
              </w:rPr>
            </w:pPr>
          </w:p>
          <w:p w14:paraId="212EC1EB" w14:textId="2CAFDBE6" w:rsidR="00583ADE" w:rsidRPr="00583ADE" w:rsidRDefault="006923DC" w:rsidP="006923DC">
            <w:pPr>
              <w:jc w:val="both"/>
              <w:rPr>
                <w:rFonts w:ascii="Calibri" w:hAnsi="Calibri" w:cs="Calibri"/>
                <w:szCs w:val="24"/>
              </w:rPr>
            </w:pPr>
            <w:r w:rsidRPr="006923DC">
              <w:rPr>
                <w:rFonts w:ascii="Calibri" w:hAnsi="Calibri" w:cs="Calibri"/>
                <w:szCs w:val="24"/>
              </w:rPr>
              <w:t>Overall, the event was highly successful, with strong engagement from both participants and volunteers, alongside valuable insights to inform future public engagement activities.</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commentRangeStart w:id="7"/>
            <w:r w:rsidRPr="00583ADE">
              <w:rPr>
                <w:rFonts w:ascii="Calibri" w:eastAsia="Questrial" w:hAnsi="Calibri" w:cs="Calibri"/>
                <w:szCs w:val="24"/>
              </w:rPr>
              <w:t>REPORT</w:t>
            </w:r>
            <w:commentRangeEnd w:id="7"/>
            <w:r w:rsidR="006923DC" w:rsidRPr="00583ADE">
              <w:rPr>
                <w:rStyle w:val="CommentReference"/>
                <w:rFonts w:ascii="Calibri" w:eastAsia="Questrial" w:hAnsi="Calibri" w:cs="Calibri"/>
                <w:sz w:val="24"/>
                <w:szCs w:val="24"/>
              </w:rPr>
              <w:commentReference w:id="7"/>
            </w:r>
            <w:r w:rsidRPr="00583ADE">
              <w:rPr>
                <w:rFonts w:ascii="Calibri" w:eastAsia="Questrial" w:hAnsi="Calibri" w:cs="Calibri"/>
                <w:szCs w:val="24"/>
              </w:rPr>
              <w:t xml:space="preserve">: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bookmarkStart w:id="8" w:name="OLE_LINK1"/>
            <w:r w:rsidR="001E5BC7" w:rsidRPr="00BD7428">
              <w:rPr>
                <w:rFonts w:ascii="Calibri" w:eastAsia="Questrial" w:hAnsi="Calibri" w:cs="Calibri"/>
                <w:szCs w:val="24"/>
              </w:rPr>
              <w:t>For public engagement/outreach awards what did your audience gain and how did you evaluate success?</w:t>
            </w:r>
          </w:p>
          <w:bookmarkEnd w:id="8"/>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771FBCF7" w14:textId="77777777" w:rsidR="006923DC" w:rsidRDefault="006923DC" w:rsidP="006923DC">
            <w:pPr>
              <w:jc w:val="both"/>
              <w:rPr>
                <w:rFonts w:ascii="Calibri" w:hAnsi="Calibri" w:cs="Calibri"/>
                <w:szCs w:val="24"/>
              </w:rPr>
            </w:pPr>
            <w:bookmarkStart w:id="9" w:name="h.3dy6vkm" w:colFirst="0" w:colLast="0"/>
            <w:bookmarkEnd w:id="9"/>
          </w:p>
          <w:p w14:paraId="57AD9908" w14:textId="3C2BCB36" w:rsidR="006923DC" w:rsidRDefault="006923DC" w:rsidP="006923DC">
            <w:pPr>
              <w:jc w:val="both"/>
              <w:rPr>
                <w:rFonts w:ascii="Calibri" w:hAnsi="Calibri" w:cs="Calibri"/>
                <w:szCs w:val="24"/>
              </w:rPr>
            </w:pPr>
            <w:r w:rsidRPr="006923DC">
              <w:rPr>
                <w:rFonts w:ascii="Calibri" w:hAnsi="Calibri" w:cs="Calibri"/>
                <w:szCs w:val="24"/>
              </w:rPr>
              <w:t xml:space="preserve">Participants gained an accessible introduction to key concepts in brain anatomy and function through hands-on, interactive activities. Physical models, puzzles, and craft-based tasks supported understanding of brain structure and neurons, while the brainwave demonstration allowed participants to visualise how neural activity changes under different conditions, linking these concepts to everyday experiences. </w:t>
            </w:r>
          </w:p>
          <w:p w14:paraId="43B2C491" w14:textId="77777777" w:rsidR="006923DC" w:rsidRDefault="006923DC" w:rsidP="006923DC">
            <w:pPr>
              <w:jc w:val="both"/>
              <w:rPr>
                <w:rFonts w:ascii="Calibri" w:hAnsi="Calibri" w:cs="Calibri"/>
                <w:szCs w:val="24"/>
              </w:rPr>
            </w:pPr>
          </w:p>
          <w:p w14:paraId="2C177C07" w14:textId="4F832834" w:rsidR="006923DC" w:rsidRDefault="006923DC" w:rsidP="006923DC">
            <w:pPr>
              <w:jc w:val="both"/>
              <w:rPr>
                <w:rFonts w:ascii="Calibri" w:hAnsi="Calibri" w:cs="Calibri"/>
                <w:szCs w:val="24"/>
              </w:rPr>
            </w:pPr>
            <w:r w:rsidRPr="006923DC">
              <w:rPr>
                <w:rFonts w:ascii="Calibri" w:hAnsi="Calibri" w:cs="Calibri"/>
                <w:szCs w:val="24"/>
              </w:rPr>
              <w:t xml:space="preserve">Engagement varied by age group. Younger participants were particularly drawn to the craft and puzzle activities, which sustained their interest and encouraged active participation. While children also engaged with the brainwave demonstration, their interaction tended to be brief. In contrast, adult participants and accompanying visitors showed a strong interest in the brainwave activity, often engaging for longer periods (approximately 10–15 minutes), suggesting this element was particularly effective in communicating more complex concepts to an older audience. </w:t>
            </w:r>
          </w:p>
          <w:p w14:paraId="75ECC66E" w14:textId="77777777" w:rsidR="006923DC" w:rsidRDefault="006923DC" w:rsidP="006923DC">
            <w:pPr>
              <w:jc w:val="both"/>
              <w:rPr>
                <w:rFonts w:ascii="Calibri" w:hAnsi="Calibri" w:cs="Calibri"/>
                <w:szCs w:val="24"/>
              </w:rPr>
            </w:pPr>
          </w:p>
          <w:p w14:paraId="71ABBD01" w14:textId="05A701A9" w:rsidR="006923DC" w:rsidRDefault="006923DC" w:rsidP="006923DC">
            <w:pPr>
              <w:jc w:val="both"/>
              <w:rPr>
                <w:rFonts w:ascii="Calibri" w:hAnsi="Calibri" w:cs="Calibri"/>
                <w:szCs w:val="24"/>
              </w:rPr>
            </w:pPr>
            <w:r w:rsidRPr="006923DC">
              <w:rPr>
                <w:rFonts w:ascii="Calibri" w:hAnsi="Calibri" w:cs="Calibri"/>
                <w:szCs w:val="24"/>
              </w:rPr>
              <w:t>Success was evaluated through participant engagement</w:t>
            </w:r>
            <w:r>
              <w:rPr>
                <w:rFonts w:ascii="Calibri" w:hAnsi="Calibri" w:cs="Calibri"/>
                <w:szCs w:val="24"/>
              </w:rPr>
              <w:t xml:space="preserve"> (number of participants at activity and time spent)</w:t>
            </w:r>
            <w:r w:rsidRPr="006923DC">
              <w:rPr>
                <w:rFonts w:ascii="Calibri" w:hAnsi="Calibri" w:cs="Calibri"/>
                <w:szCs w:val="24"/>
              </w:rPr>
              <w:t xml:space="preserve">, informal feedback, and structured feedback collection. Engagement levels were consistently high across all activities. Feedback was gathered using simplified paper-based tools appropriate for a young audience, focusing on enjoyment and perceived learning, with most participants indicating that they both enjoyed the activities and learned something new. </w:t>
            </w:r>
          </w:p>
          <w:p w14:paraId="7074D944" w14:textId="77777777" w:rsidR="006923DC" w:rsidRDefault="006923DC" w:rsidP="006923DC">
            <w:pPr>
              <w:jc w:val="both"/>
              <w:rPr>
                <w:rFonts w:ascii="Calibri" w:hAnsi="Calibri" w:cs="Calibri"/>
                <w:szCs w:val="24"/>
              </w:rPr>
            </w:pPr>
          </w:p>
          <w:p w14:paraId="2090469B" w14:textId="4DC00395" w:rsidR="00583ADE" w:rsidRPr="00583ADE" w:rsidRDefault="006923DC" w:rsidP="006923DC">
            <w:pPr>
              <w:jc w:val="both"/>
              <w:rPr>
                <w:rFonts w:ascii="Calibri" w:hAnsi="Calibri" w:cs="Calibri"/>
                <w:szCs w:val="24"/>
              </w:rPr>
            </w:pPr>
            <w:r w:rsidRPr="006923DC">
              <w:rPr>
                <w:rFonts w:ascii="Calibri" w:hAnsi="Calibri" w:cs="Calibri"/>
                <w:szCs w:val="24"/>
              </w:rPr>
              <w:t>Additional insights were gained through discussions with teachers, parents, and educators, as well as feedback from undergraduate volunteers. These combined measures indicated that the activities successfully met their public engagement aims, while also highlighting areas for refinement in future evaluation methods.</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commentRangeStart w:id="10"/>
            <w:r w:rsidRPr="00583ADE">
              <w:rPr>
                <w:rFonts w:ascii="Calibri" w:eastAsia="Questrial" w:hAnsi="Calibri" w:cs="Calibri"/>
                <w:szCs w:val="24"/>
              </w:rPr>
              <w:t>REPORT</w:t>
            </w:r>
            <w:commentRangeEnd w:id="10"/>
            <w:r w:rsidR="006923DC" w:rsidRPr="00583ADE">
              <w:rPr>
                <w:rStyle w:val="CommentReference"/>
                <w:rFonts w:ascii="Calibri" w:eastAsia="Questrial" w:hAnsi="Calibri" w:cs="Calibri"/>
                <w:sz w:val="24"/>
                <w:szCs w:val="24"/>
              </w:rPr>
              <w:commentReference w:id="10"/>
            </w:r>
            <w:r w:rsidRPr="00583ADE">
              <w:rPr>
                <w:rFonts w:ascii="Calibri" w:eastAsia="Questrial" w:hAnsi="Calibri" w:cs="Calibri"/>
                <w:szCs w:val="24"/>
              </w:rPr>
              <w: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6923DC">
        <w:trPr>
          <w:trHeight w:val="1054"/>
        </w:trPr>
        <w:tc>
          <w:tcPr>
            <w:tcW w:w="10784" w:type="dxa"/>
            <w:gridSpan w:val="5"/>
            <w:shd w:val="clear" w:color="auto" w:fill="FFFFFF"/>
          </w:tcPr>
          <w:p w14:paraId="74A531B3" w14:textId="77777777" w:rsidR="006923DC" w:rsidRDefault="006923DC" w:rsidP="006923DC">
            <w:pPr>
              <w:jc w:val="both"/>
              <w:rPr>
                <w:rFonts w:ascii="Calibri" w:hAnsi="Calibri" w:cs="Calibri"/>
                <w:szCs w:val="24"/>
              </w:rPr>
            </w:pPr>
            <w:bookmarkStart w:id="11" w:name="h.1t3h5sf" w:colFirst="0" w:colLast="0"/>
            <w:bookmarkStart w:id="12" w:name="h.4d34og8" w:colFirst="0" w:colLast="0"/>
            <w:bookmarkEnd w:id="11"/>
            <w:bookmarkEnd w:id="12"/>
            <w:r w:rsidRPr="006923DC">
              <w:rPr>
                <w:rFonts w:ascii="Calibri" w:hAnsi="Calibri" w:cs="Calibri"/>
                <w:szCs w:val="24"/>
              </w:rPr>
              <w:t xml:space="preserve">The materials and approaches developed through this project will be readily transferable to future public engagement activities. The interactive puzzle, anatomical teaching models, and brain hats are reusable resources that can be deployed across a range of outreach settings with minimal adaptation. </w:t>
            </w:r>
          </w:p>
          <w:p w14:paraId="7CE4FBFC" w14:textId="77777777" w:rsidR="006923DC" w:rsidRDefault="006923DC" w:rsidP="006923DC">
            <w:pPr>
              <w:jc w:val="both"/>
              <w:rPr>
                <w:rFonts w:ascii="Calibri" w:hAnsi="Calibri" w:cs="Calibri"/>
                <w:szCs w:val="24"/>
              </w:rPr>
            </w:pPr>
          </w:p>
          <w:p w14:paraId="2ADAD278" w14:textId="3723AB43" w:rsidR="006923DC" w:rsidRDefault="006923DC" w:rsidP="006923DC">
            <w:pPr>
              <w:jc w:val="both"/>
              <w:rPr>
                <w:rFonts w:ascii="Calibri" w:hAnsi="Calibri" w:cs="Calibri"/>
                <w:szCs w:val="24"/>
              </w:rPr>
            </w:pPr>
            <w:r w:rsidRPr="006923DC">
              <w:rPr>
                <w:rFonts w:ascii="Calibri" w:hAnsi="Calibri" w:cs="Calibri"/>
                <w:szCs w:val="24"/>
              </w:rPr>
              <w:t>The neuron craft activity was highly popular, with participants taking their creations home to support continued engagement and learning beyond the event.</w:t>
            </w:r>
            <w:r>
              <w:rPr>
                <w:rFonts w:ascii="Calibri" w:hAnsi="Calibri" w:cs="Calibri"/>
                <w:szCs w:val="24"/>
              </w:rPr>
              <w:t xml:space="preserve"> D</w:t>
            </w:r>
            <w:r w:rsidRPr="006923DC">
              <w:rPr>
                <w:rFonts w:ascii="Calibri" w:hAnsi="Calibri" w:cs="Calibri"/>
                <w:szCs w:val="24"/>
              </w:rPr>
              <w:t xml:space="preserve">etailed instructions have been developed, and remaining materials can be used to recreate or adapt this activity for future events. </w:t>
            </w:r>
          </w:p>
          <w:p w14:paraId="6715D608" w14:textId="77777777" w:rsidR="006923DC" w:rsidRDefault="006923DC" w:rsidP="006923DC">
            <w:pPr>
              <w:jc w:val="both"/>
              <w:rPr>
                <w:rFonts w:ascii="Calibri" w:hAnsi="Calibri" w:cs="Calibri"/>
                <w:szCs w:val="24"/>
              </w:rPr>
            </w:pPr>
          </w:p>
          <w:p w14:paraId="09B6F8D7" w14:textId="77777777" w:rsidR="006923DC" w:rsidRDefault="006923DC" w:rsidP="006923DC">
            <w:pPr>
              <w:jc w:val="both"/>
              <w:rPr>
                <w:rFonts w:ascii="Calibri" w:hAnsi="Calibri" w:cs="Calibri"/>
                <w:szCs w:val="24"/>
              </w:rPr>
            </w:pPr>
            <w:r w:rsidRPr="006923DC">
              <w:rPr>
                <w:rFonts w:ascii="Calibri" w:hAnsi="Calibri" w:cs="Calibri"/>
                <w:szCs w:val="24"/>
              </w:rPr>
              <w:t>The collaboratively developed brainwave activity also provides a valuable addition to the engagement toolkit and can be easily reused. This experience highlighted the importance of tailoring activities to different audiences. The brainwave demonstration was particularly effective for adult participants and would be well suited to adult-focused events (e.g. late-night science events), whereas the craft and puzzle-based activities were more effective for engaging younger audiences.</w:t>
            </w:r>
          </w:p>
          <w:p w14:paraId="638FF75E" w14:textId="77777777" w:rsidR="006923DC" w:rsidRDefault="006923DC" w:rsidP="006923DC">
            <w:pPr>
              <w:jc w:val="both"/>
              <w:rPr>
                <w:rFonts w:ascii="Calibri" w:hAnsi="Calibri" w:cs="Calibri"/>
                <w:szCs w:val="24"/>
              </w:rPr>
            </w:pPr>
          </w:p>
          <w:p w14:paraId="1AD083D8" w14:textId="77777777" w:rsidR="006923DC" w:rsidRDefault="006923DC" w:rsidP="006923DC">
            <w:pPr>
              <w:jc w:val="both"/>
              <w:rPr>
                <w:rFonts w:ascii="Calibri" w:hAnsi="Calibri" w:cs="Calibri"/>
                <w:szCs w:val="24"/>
              </w:rPr>
            </w:pPr>
            <w:r w:rsidRPr="006923DC">
              <w:rPr>
                <w:rFonts w:ascii="Calibri" w:hAnsi="Calibri" w:cs="Calibri"/>
                <w:szCs w:val="24"/>
              </w:rPr>
              <w:t xml:space="preserve">In addition, this project highlighted the need for improved methods of collecting feedback from younger participants. Future activities would benefit from developing more robust, age-appropriate evaluation strategies, including seeking structured feedback from teachers during organised school visits, rather than relying solely on simplified responses from children. </w:t>
            </w:r>
          </w:p>
          <w:p w14:paraId="66F9F848" w14:textId="77777777" w:rsidR="006923DC" w:rsidRDefault="006923DC" w:rsidP="006923DC">
            <w:pPr>
              <w:jc w:val="both"/>
              <w:rPr>
                <w:rFonts w:ascii="Calibri" w:hAnsi="Calibri" w:cs="Calibri"/>
                <w:szCs w:val="24"/>
              </w:rPr>
            </w:pPr>
          </w:p>
          <w:p w14:paraId="384A9DCB" w14:textId="77E588B1" w:rsidR="00543C88" w:rsidRPr="00583ADE" w:rsidRDefault="006923DC" w:rsidP="006923DC">
            <w:pPr>
              <w:jc w:val="both"/>
              <w:rPr>
                <w:rFonts w:ascii="Calibri" w:hAnsi="Calibri" w:cs="Calibri"/>
                <w:szCs w:val="24"/>
              </w:rPr>
            </w:pPr>
            <w:r w:rsidRPr="006923DC">
              <w:rPr>
                <w:rFonts w:ascii="Calibri" w:hAnsi="Calibri" w:cs="Calibri"/>
                <w:szCs w:val="24"/>
              </w:rPr>
              <w:lastRenderedPageBreak/>
              <w:t xml:space="preserve">Overall, this project has </w:t>
            </w:r>
            <w:r w:rsidR="00C14082">
              <w:rPr>
                <w:rFonts w:ascii="Calibri" w:hAnsi="Calibri" w:cs="Calibri"/>
                <w:szCs w:val="24"/>
              </w:rPr>
              <w:t>generated</w:t>
            </w:r>
            <w:r w:rsidRPr="006923DC">
              <w:rPr>
                <w:rFonts w:ascii="Calibri" w:hAnsi="Calibri" w:cs="Calibri"/>
                <w:szCs w:val="24"/>
              </w:rPr>
              <w:t xml:space="preserve"> </w:t>
            </w:r>
            <w:r w:rsidR="00C14082">
              <w:rPr>
                <w:rFonts w:ascii="Calibri" w:hAnsi="Calibri" w:cs="Calibri"/>
                <w:szCs w:val="24"/>
              </w:rPr>
              <w:t>reusable</w:t>
            </w:r>
            <w:r w:rsidRPr="006923DC">
              <w:rPr>
                <w:rFonts w:ascii="Calibri" w:hAnsi="Calibri" w:cs="Calibri"/>
                <w:szCs w:val="24"/>
              </w:rPr>
              <w:t xml:space="preserve"> activities and resources, alongside a stronger understanding of audience-specific engagement and evaluation strategies, which will inform future outreach work.</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lastRenderedPageBreak/>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591872EF" w:rsidR="006923DC" w:rsidRPr="00583ADE" w:rsidRDefault="006923DC">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Pr="006923DC" w:rsidRDefault="00D62C5F">
            <w:pPr>
              <w:rPr>
                <w:rFonts w:ascii="Calibri" w:hAnsi="Calibri" w:cs="Calibri"/>
                <w:szCs w:val="24"/>
              </w:rPr>
            </w:pPr>
          </w:p>
          <w:p w14:paraId="03019196" w14:textId="77777777" w:rsidR="00D62C5F" w:rsidRDefault="006923DC" w:rsidP="00FF3F8C">
            <w:pPr>
              <w:rPr>
                <w:rFonts w:ascii="Calibri" w:hAnsi="Calibri" w:cs="Calibri"/>
                <w:szCs w:val="24"/>
              </w:rPr>
            </w:pPr>
            <w:r w:rsidRPr="006923DC">
              <w:rPr>
                <w:rFonts w:ascii="Calibri" w:hAnsi="Calibri" w:cs="Calibri"/>
                <w:szCs w:val="24"/>
              </w:rPr>
              <w:t>N/A</w:t>
            </w:r>
          </w:p>
          <w:p w14:paraId="24CB97B5" w14:textId="28554B63" w:rsidR="006923DC" w:rsidRPr="006923DC" w:rsidRDefault="006923DC"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27EA2DC0" w14:textId="17460A37" w:rsidR="006923DC" w:rsidRDefault="006923DC"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13" w:name="h.2s8eyo1" w:colFirst="0" w:colLast="0"/>
            <w:bookmarkEnd w:id="13"/>
            <w:r w:rsidRPr="00583ADE">
              <w:rPr>
                <w:rFonts w:ascii="Calibri" w:eastAsia="Questrial" w:hAnsi="Calibri" w:cs="Calibri"/>
                <w:szCs w:val="24"/>
              </w:rPr>
              <w:t>SIGNATURE</w:t>
            </w:r>
          </w:p>
        </w:tc>
        <w:tc>
          <w:tcPr>
            <w:tcW w:w="6300" w:type="dxa"/>
            <w:gridSpan w:val="2"/>
            <w:shd w:val="clear" w:color="auto" w:fill="FFFFFF"/>
            <w:vAlign w:val="center"/>
          </w:tcPr>
          <w:p w14:paraId="48A472CA" w14:textId="7B3CA779" w:rsidR="001915B6" w:rsidRPr="00583ADE" w:rsidRDefault="006923DC">
            <w:pPr>
              <w:rPr>
                <w:rFonts w:ascii="Calibri" w:hAnsi="Calibri" w:cs="Calibri"/>
                <w:szCs w:val="24"/>
              </w:rPr>
            </w:pPr>
            <w:bookmarkStart w:id="14" w:name="h.17dp8vu" w:colFirst="0" w:colLast="0"/>
            <w:bookmarkEnd w:id="14"/>
            <w:r>
              <w:rPr>
                <w:rFonts w:ascii="Calibri" w:hAnsi="Calibri" w:cs="Calibri"/>
                <w:szCs w:val="24"/>
              </w:rPr>
              <w:t xml:space="preserve">Emma Jackson </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DA69C19" w:rsidR="001915B6" w:rsidRPr="00583ADE" w:rsidRDefault="006923DC">
            <w:pPr>
              <w:rPr>
                <w:rFonts w:ascii="Calibri" w:hAnsi="Calibri" w:cs="Calibri"/>
                <w:szCs w:val="24"/>
              </w:rPr>
            </w:pPr>
            <w:bookmarkStart w:id="15" w:name="h.3rdcrjn" w:colFirst="0" w:colLast="0"/>
            <w:bookmarkEnd w:id="15"/>
            <w:r>
              <w:rPr>
                <w:rFonts w:ascii="Calibri" w:hAnsi="Calibri" w:cs="Calibri"/>
                <w:szCs w:val="24"/>
              </w:rPr>
              <w:t>12/06/2026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12"/>
      <w:headerReference w:type="default" r:id="rId13"/>
      <w:footerReference w:type="even" r:id="rId14"/>
      <w:footerReference w:type="default" r:id="rId15"/>
      <w:headerReference w:type="first" r:id="rId16"/>
      <w:footerReference w:type="first" r:id="rId17"/>
      <w:pgSz w:w="12240" w:h="15840"/>
      <w:pgMar w:top="864" w:right="864" w:bottom="864" w:left="864" w:header="283"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mma Jackson" w:date="2026-06-12T13:38:00Z" w:initials="EJ">
    <w:p w14:paraId="4AAF4B3A" w14:textId="77777777" w:rsidR="006923DC" w:rsidRDefault="006923DC" w:rsidP="006923DC">
      <w:r>
        <w:rPr>
          <w:rStyle w:val="CommentReference"/>
        </w:rPr>
        <w:annotationRef/>
      </w:r>
      <w:r>
        <w:rPr>
          <w:sz w:val="20"/>
        </w:rPr>
        <w:t xml:space="preserve">309 words </w:t>
      </w:r>
    </w:p>
  </w:comment>
  <w:comment w:id="5" w:author="Emma Jackson" w:date="2026-06-12T13:39:00Z" w:initials="EJ">
    <w:p w14:paraId="0367060E" w14:textId="77777777" w:rsidR="006923DC" w:rsidRDefault="006923DC" w:rsidP="006923DC">
      <w:r>
        <w:rPr>
          <w:rStyle w:val="CommentReference"/>
        </w:rPr>
        <w:annotationRef/>
      </w:r>
      <w:r>
        <w:rPr>
          <w:sz w:val="20"/>
        </w:rPr>
        <w:t>212words</w:t>
      </w:r>
    </w:p>
    <w:p w14:paraId="63020618" w14:textId="77777777" w:rsidR="006923DC" w:rsidRDefault="006923DC" w:rsidP="006923DC"/>
  </w:comment>
  <w:comment w:id="7" w:author="Emma Jackson" w:date="2026-06-12T13:39:00Z" w:initials="EJ">
    <w:p w14:paraId="1C70D234" w14:textId="57869333" w:rsidR="006923DC" w:rsidRDefault="006923DC" w:rsidP="006923DC">
      <w:r>
        <w:rPr>
          <w:rStyle w:val="CommentReference"/>
        </w:rPr>
        <w:annotationRef/>
      </w:r>
      <w:r>
        <w:rPr>
          <w:sz w:val="20"/>
        </w:rPr>
        <w:t>221 words</w:t>
      </w:r>
    </w:p>
  </w:comment>
  <w:comment w:id="10" w:author="Emma Jackson" w:date="2026-06-12T14:10:00Z" w:initials="EJ">
    <w:p w14:paraId="4F31E332" w14:textId="77777777" w:rsidR="006923DC" w:rsidRDefault="006923DC" w:rsidP="006923DC">
      <w:r>
        <w:rPr>
          <w:rStyle w:val="CommentReference"/>
        </w:rPr>
        <w:annotationRef/>
      </w:r>
      <w:r>
        <w:rPr>
          <w:sz w:val="20"/>
        </w:rPr>
        <w:t>223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AF4B3A" w15:done="0"/>
  <w15:commentEx w15:paraId="63020618" w15:done="0"/>
  <w15:commentEx w15:paraId="1C70D234" w15:done="0"/>
  <w15:commentEx w15:paraId="4F31E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F0E9D" w16cex:dateUtc="2026-06-12T12:38:00Z"/>
  <w16cex:commentExtensible w16cex:durableId="2949E193" w16cex:dateUtc="2026-06-12T12:39:00Z"/>
  <w16cex:commentExtensible w16cex:durableId="7091E880" w16cex:dateUtc="2026-06-12T12:39:00Z"/>
  <w16cex:commentExtensible w16cex:durableId="0460FC56" w16cex:dateUtc="2026-06-12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AF4B3A" w16cid:durableId="5E7F0E9D"/>
  <w16cid:commentId w16cid:paraId="63020618" w16cid:durableId="2949E193"/>
  <w16cid:commentId w16cid:paraId="1C70D234" w16cid:durableId="7091E880"/>
  <w16cid:commentId w16cid:paraId="4F31E332" w16cid:durableId="0460FC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4014" w14:textId="77777777" w:rsidR="004B7EAF" w:rsidRDefault="004B7EAF">
      <w:r>
        <w:separator/>
      </w:r>
    </w:p>
  </w:endnote>
  <w:endnote w:type="continuationSeparator" w:id="0">
    <w:p w14:paraId="1A2B4485" w14:textId="77777777" w:rsidR="004B7EAF" w:rsidRDefault="004B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Questrial">
    <w:panose1 w:val="00000000000000000000"/>
    <w:charset w:val="4D"/>
    <w:family w:val="auto"/>
    <w:pitch w:val="variable"/>
    <w:sig w:usb0="E00002FF" w:usb1="4000201F" w:usb2="08000029"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EC86" w14:textId="77777777" w:rsidR="006923DC" w:rsidRDefault="00692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891B" w14:textId="77777777" w:rsidR="006923DC" w:rsidRDefault="0069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E5DB" w14:textId="77777777" w:rsidR="004B7EAF" w:rsidRDefault="004B7EAF">
      <w:r>
        <w:separator/>
      </w:r>
    </w:p>
  </w:footnote>
  <w:footnote w:type="continuationSeparator" w:id="0">
    <w:p w14:paraId="44BC0297" w14:textId="77777777" w:rsidR="004B7EAF" w:rsidRDefault="004B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BA6F" w14:textId="77777777" w:rsidR="006923DC" w:rsidRDefault="00692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5EA4" w14:textId="77777777" w:rsidR="006923DC" w:rsidRDefault="00692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D01DDA"/>
    <w:multiLevelType w:val="hybridMultilevel"/>
    <w:tmpl w:val="7EBE9E6A"/>
    <w:lvl w:ilvl="0" w:tplc="D5769482">
      <w:start w:val="1"/>
      <w:numFmt w:val="decimal"/>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7639587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Jackson">
    <w15:presenceInfo w15:providerId="AD" w15:userId="S::Emma.J.Jackson@glasgow.ac.uk::12ea78af-d956-4372-a2be-9cbb752ab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915B6"/>
    <w:rsid w:val="001E5BC7"/>
    <w:rsid w:val="002009EB"/>
    <w:rsid w:val="002014CC"/>
    <w:rsid w:val="002E61DD"/>
    <w:rsid w:val="0043727D"/>
    <w:rsid w:val="00494922"/>
    <w:rsid w:val="004B7EAF"/>
    <w:rsid w:val="00543C88"/>
    <w:rsid w:val="00550BF2"/>
    <w:rsid w:val="00583ADE"/>
    <w:rsid w:val="00635A6E"/>
    <w:rsid w:val="006923DC"/>
    <w:rsid w:val="0069608B"/>
    <w:rsid w:val="006C7020"/>
    <w:rsid w:val="006D6944"/>
    <w:rsid w:val="007722E4"/>
    <w:rsid w:val="00793994"/>
    <w:rsid w:val="0080741C"/>
    <w:rsid w:val="008813B1"/>
    <w:rsid w:val="008E1F83"/>
    <w:rsid w:val="008F2AD9"/>
    <w:rsid w:val="009D1736"/>
    <w:rsid w:val="00B21748"/>
    <w:rsid w:val="00B364F6"/>
    <w:rsid w:val="00BD7428"/>
    <w:rsid w:val="00C13DBC"/>
    <w:rsid w:val="00C14082"/>
    <w:rsid w:val="00C161F2"/>
    <w:rsid w:val="00C55078"/>
    <w:rsid w:val="00C612A2"/>
    <w:rsid w:val="00C7359A"/>
    <w:rsid w:val="00CF3E65"/>
    <w:rsid w:val="00D1595A"/>
    <w:rsid w:val="00D62C5F"/>
    <w:rsid w:val="00D763AE"/>
    <w:rsid w:val="00DD21C7"/>
    <w:rsid w:val="00DF2B7E"/>
    <w:rsid w:val="00E07A80"/>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unhideWhenUsed/>
    <w:rsid w:val="006923DC"/>
    <w:pPr>
      <w:spacing w:before="100" w:beforeAutospacing="1" w:after="100" w:afterAutospacing="1"/>
    </w:pPr>
    <w:rPr>
      <w:rFonts w:ascii="Times New Roman" w:eastAsia="Times New Roman" w:hAnsi="Times New Roman" w:cs="Times New Roman"/>
      <w:color w:val="auto"/>
      <w:szCs w:val="24"/>
    </w:rPr>
  </w:style>
  <w:style w:type="character" w:styleId="Strong">
    <w:name w:val="Strong"/>
    <w:uiPriority w:val="22"/>
    <w:qFormat/>
    <w:rsid w:val="006923DC"/>
    <w:rPr>
      <w:b/>
      <w:bCs/>
    </w:rPr>
  </w:style>
  <w:style w:type="character" w:styleId="CommentReference">
    <w:name w:val="annotation reference"/>
    <w:basedOn w:val="DefaultParagraphFont"/>
    <w:uiPriority w:val="99"/>
    <w:semiHidden/>
    <w:unhideWhenUsed/>
    <w:rsid w:val="006923DC"/>
    <w:rPr>
      <w:sz w:val="16"/>
      <w:szCs w:val="16"/>
    </w:rPr>
  </w:style>
  <w:style w:type="paragraph" w:styleId="CommentText">
    <w:name w:val="annotation text"/>
    <w:basedOn w:val="Normal"/>
    <w:link w:val="CommentTextChar"/>
    <w:uiPriority w:val="99"/>
    <w:semiHidden/>
    <w:unhideWhenUsed/>
    <w:rsid w:val="006923DC"/>
    <w:rPr>
      <w:sz w:val="20"/>
    </w:rPr>
  </w:style>
  <w:style w:type="character" w:customStyle="1" w:styleId="CommentTextChar">
    <w:name w:val="Comment Text Char"/>
    <w:basedOn w:val="DefaultParagraphFont"/>
    <w:link w:val="CommentText"/>
    <w:uiPriority w:val="99"/>
    <w:semiHidden/>
    <w:rsid w:val="006923DC"/>
    <w:rPr>
      <w:color w:val="000000"/>
    </w:rPr>
  </w:style>
  <w:style w:type="paragraph" w:styleId="CommentSubject">
    <w:name w:val="annotation subject"/>
    <w:basedOn w:val="CommentText"/>
    <w:next w:val="CommentText"/>
    <w:link w:val="CommentSubjectChar"/>
    <w:uiPriority w:val="99"/>
    <w:semiHidden/>
    <w:unhideWhenUsed/>
    <w:rsid w:val="006923DC"/>
    <w:rPr>
      <w:b/>
      <w:bCs/>
    </w:rPr>
  </w:style>
  <w:style w:type="character" w:customStyle="1" w:styleId="CommentSubjectChar">
    <w:name w:val="Comment Subject Char"/>
    <w:basedOn w:val="CommentTextChar"/>
    <w:link w:val="CommentSubject"/>
    <w:uiPriority w:val="99"/>
    <w:semiHidden/>
    <w:rsid w:val="006923DC"/>
    <w:rPr>
      <w:b/>
      <w:bCs/>
      <w:color w:val="000000"/>
    </w:rPr>
  </w:style>
  <w:style w:type="paragraph" w:styleId="ListParagraph">
    <w:name w:val="List Paragraph"/>
    <w:basedOn w:val="Normal"/>
    <w:uiPriority w:val="34"/>
    <w:qFormat/>
    <w:rsid w:val="00692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Emma Jackson</cp:lastModifiedBy>
  <cp:revision>7</cp:revision>
  <cp:lastPrinted>2023-10-17T08:42:00Z</cp:lastPrinted>
  <dcterms:created xsi:type="dcterms:W3CDTF">2023-10-17T08:39:00Z</dcterms:created>
  <dcterms:modified xsi:type="dcterms:W3CDTF">2026-06-12T13:48:00Z</dcterms:modified>
</cp:coreProperties>
</file>