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447B" w14:textId="4E6F1020" w:rsidR="000D3A84" w:rsidRDefault="000D3A84">
      <w:pPr>
        <w:rPr>
          <w:b/>
          <w:bCs/>
        </w:rPr>
      </w:pPr>
      <w:r w:rsidRPr="00792BEA">
        <w:rPr>
          <w:b/>
          <w:bCs/>
        </w:rPr>
        <w:t>PROJECT RESUME</w:t>
      </w:r>
    </w:p>
    <w:p w14:paraId="61A8ADDD" w14:textId="7A75D9E7" w:rsidR="00FA0730" w:rsidRPr="00FA0730" w:rsidRDefault="00300945" w:rsidP="00FA0730">
      <w:pPr>
        <w:pStyle w:val="Default"/>
        <w:rPr>
          <w:rFonts w:cstheme="minorHAnsi"/>
        </w:rPr>
      </w:pPr>
      <w:r w:rsidRPr="00F811F4">
        <w:rPr>
          <w:rFonts w:asciiTheme="minorHAnsi" w:hAnsiTheme="minorHAnsi" w:cstheme="minorHAnsi"/>
          <w:b/>
          <w:bCs/>
          <w:sz w:val="22"/>
          <w:szCs w:val="22"/>
        </w:rPr>
        <w:t>TITLE</w:t>
      </w:r>
      <w:r w:rsidRPr="00FA0730">
        <w:rPr>
          <w:rFonts w:asciiTheme="minorHAnsi" w:hAnsiTheme="minorHAnsi" w:cstheme="minorHAnsi"/>
          <w:sz w:val="22"/>
          <w:szCs w:val="22"/>
        </w:rPr>
        <w:t xml:space="preserve">: </w:t>
      </w:r>
      <w:r w:rsidR="00FA0730" w:rsidRPr="00FA0730">
        <w:rPr>
          <w:rFonts w:cstheme="minorHAnsi"/>
        </w:rPr>
        <w:t>Investigating the link between cortical network hyperexcitability and neuroinflammation in a mouse model of dementia with Lewy bodies (DLB)</w:t>
      </w:r>
    </w:p>
    <w:p w14:paraId="3EFC91E5" w14:textId="77777777" w:rsidR="00FA0730" w:rsidRDefault="00FA0730" w:rsidP="00FA0730">
      <w:pPr>
        <w:pStyle w:val="Default"/>
        <w:rPr>
          <w:rFonts w:cstheme="minorHAnsi"/>
          <w:b/>
        </w:rPr>
      </w:pPr>
    </w:p>
    <w:p w14:paraId="1F22E356" w14:textId="77777777" w:rsidR="00FA0730" w:rsidRPr="00B42D01" w:rsidRDefault="00FA0730" w:rsidP="00FA0730">
      <w:pPr>
        <w:pStyle w:val="NormalWeb"/>
        <w:spacing w:before="0" w:before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DLB patients suffer from </w:t>
      </w:r>
      <w:r w:rsidRPr="00B42D01">
        <w:rPr>
          <w:rFonts w:ascii="Calibri" w:hAnsi="Calibri" w:cs="Calibri"/>
          <w:color w:val="000000"/>
        </w:rPr>
        <w:t xml:space="preserve">hallucinations and myoclonus </w:t>
      </w:r>
      <w:r>
        <w:rPr>
          <w:rFonts w:ascii="Calibri" w:hAnsi="Calibri" w:cs="Calibri"/>
          <w:color w:val="000000"/>
        </w:rPr>
        <w:t xml:space="preserve">linked to cortical hyperexcitability. </w:t>
      </w:r>
      <w:r w:rsidRPr="00B42D01">
        <w:rPr>
          <w:rFonts w:ascii="Calibri" w:hAnsi="Calibri" w:cs="Calibri"/>
          <w:color w:val="000000"/>
        </w:rPr>
        <w:t xml:space="preserve">We have </w:t>
      </w:r>
      <w:r>
        <w:rPr>
          <w:rFonts w:ascii="Calibri" w:hAnsi="Calibri" w:cs="Calibri"/>
          <w:color w:val="000000"/>
        </w:rPr>
        <w:t>shown that</w:t>
      </w:r>
      <w:r w:rsidRPr="00B42D0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 </w:t>
      </w:r>
      <w:r w:rsidRPr="00B42D01"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</w:rPr>
        <w:t xml:space="preserve">transgenic </w:t>
      </w:r>
      <w:r w:rsidRPr="00B42D01">
        <w:rPr>
          <w:rFonts w:ascii="Calibri" w:hAnsi="Calibri" w:cs="Calibri"/>
          <w:color w:val="000000"/>
        </w:rPr>
        <w:t xml:space="preserve">mouse model </w:t>
      </w:r>
      <w:r>
        <w:rPr>
          <w:rFonts w:ascii="Calibri" w:hAnsi="Calibri" w:cs="Calibri"/>
          <w:color w:val="000000"/>
        </w:rPr>
        <w:t>over-expressing</w:t>
      </w:r>
      <w:r w:rsidRPr="00B42D01">
        <w:rPr>
          <w:rFonts w:ascii="Calibri" w:hAnsi="Calibri" w:cs="Calibri"/>
          <w:color w:val="000000"/>
        </w:rPr>
        <w:t xml:space="preserve"> human mutant alpha-synuclein</w:t>
      </w:r>
      <w:r>
        <w:rPr>
          <w:rFonts w:ascii="Calibri" w:hAnsi="Calibri" w:cs="Calibri"/>
          <w:color w:val="000000"/>
        </w:rPr>
        <w:t xml:space="preserve"> in neurons</w:t>
      </w:r>
      <w:r w:rsidRPr="00B42D01">
        <w:rPr>
          <w:rFonts w:ascii="Calibri" w:hAnsi="Calibri" w:cs="Calibri"/>
          <w:color w:val="000000"/>
        </w:rPr>
        <w:t xml:space="preserve"> to model DLB (A30P) there is </w:t>
      </w:r>
      <w:r>
        <w:rPr>
          <w:rFonts w:ascii="Calibri" w:hAnsi="Calibri" w:cs="Calibri"/>
          <w:color w:val="000000"/>
        </w:rPr>
        <w:t xml:space="preserve">prodromal hippocampal </w:t>
      </w:r>
      <w:r w:rsidRPr="00B42D01">
        <w:rPr>
          <w:rFonts w:ascii="Calibri" w:hAnsi="Calibri" w:cs="Calibri"/>
          <w:color w:val="000000"/>
        </w:rPr>
        <w:t xml:space="preserve">network </w:t>
      </w:r>
      <w:r>
        <w:rPr>
          <w:rFonts w:ascii="Calibri" w:hAnsi="Calibri" w:cs="Calibri"/>
          <w:color w:val="000000"/>
        </w:rPr>
        <w:t>hyper</w:t>
      </w:r>
      <w:r w:rsidRPr="00B42D01">
        <w:rPr>
          <w:rFonts w:ascii="Calibri" w:hAnsi="Calibri" w:cs="Calibri"/>
          <w:color w:val="000000"/>
        </w:rPr>
        <w:t>excitability</w:t>
      </w:r>
      <w:r>
        <w:rPr>
          <w:rFonts w:ascii="Calibri" w:hAnsi="Calibri" w:cs="Calibri"/>
          <w:color w:val="000000"/>
        </w:rPr>
        <w:t xml:space="preserve"> accompan</w:t>
      </w:r>
      <w:r w:rsidRPr="00B42D01">
        <w:rPr>
          <w:rFonts w:ascii="Calibri" w:hAnsi="Calibri" w:cs="Calibri"/>
          <w:color w:val="000000"/>
        </w:rPr>
        <w:t>ied by increases in re</w:t>
      </w:r>
      <w:r>
        <w:rPr>
          <w:rFonts w:ascii="Calibri" w:hAnsi="Calibri" w:cs="Calibri"/>
          <w:color w:val="000000"/>
        </w:rPr>
        <w:t>active astrocytes and microglia. Here, we aim to d</w:t>
      </w:r>
      <w:r w:rsidRPr="00B42D01">
        <w:rPr>
          <w:rFonts w:ascii="Calibri" w:hAnsi="Calibri" w:cs="Calibri"/>
          <w:color w:val="000000"/>
        </w:rPr>
        <w:t xml:space="preserve">emonstrate </w:t>
      </w:r>
      <w:r>
        <w:rPr>
          <w:rFonts w:ascii="Calibri" w:hAnsi="Calibri" w:cs="Calibri"/>
          <w:color w:val="000000"/>
        </w:rPr>
        <w:t xml:space="preserve">these changes </w:t>
      </w:r>
      <w:r w:rsidRPr="00B42D01">
        <w:rPr>
          <w:rFonts w:ascii="Calibri" w:hAnsi="Calibri" w:cs="Calibri"/>
          <w:color w:val="000000"/>
        </w:rPr>
        <w:t>in A30P</w:t>
      </w:r>
      <w:r>
        <w:rPr>
          <w:rFonts w:ascii="Calibri" w:hAnsi="Calibri" w:cs="Calibri"/>
          <w:color w:val="000000"/>
        </w:rPr>
        <w:t xml:space="preserve"> </w:t>
      </w:r>
      <w:r w:rsidRPr="00B42D01">
        <w:rPr>
          <w:rFonts w:ascii="Calibri" w:hAnsi="Calibri" w:cs="Calibri"/>
          <w:color w:val="000000"/>
        </w:rPr>
        <w:t xml:space="preserve">mice in another cortical </w:t>
      </w:r>
      <w:r>
        <w:rPr>
          <w:rFonts w:ascii="Calibri" w:hAnsi="Calibri" w:cs="Calibri"/>
          <w:color w:val="000000"/>
        </w:rPr>
        <w:t>region important to memory formation (anterior cingulate cortex). Frontal cortex s</w:t>
      </w:r>
      <w:r w:rsidRPr="00B42D01">
        <w:rPr>
          <w:rFonts w:ascii="Calibri" w:hAnsi="Calibri" w:cs="Calibri"/>
          <w:color w:val="000000"/>
        </w:rPr>
        <w:t>lices</w:t>
      </w:r>
      <w:r>
        <w:rPr>
          <w:rFonts w:ascii="Calibri" w:hAnsi="Calibri" w:cs="Calibri"/>
          <w:color w:val="000000"/>
        </w:rPr>
        <w:t xml:space="preserve"> </w:t>
      </w:r>
      <w:r w:rsidRPr="00B42D01">
        <w:rPr>
          <w:rFonts w:ascii="Calibri" w:hAnsi="Calibri" w:cs="Calibri"/>
          <w:color w:val="000000"/>
        </w:rPr>
        <w:t xml:space="preserve">from </w:t>
      </w:r>
      <w:r>
        <w:rPr>
          <w:rFonts w:ascii="Calibri" w:hAnsi="Calibri" w:cs="Calibri"/>
          <w:color w:val="000000"/>
        </w:rPr>
        <w:t xml:space="preserve">young </w:t>
      </w:r>
      <w:r w:rsidRPr="00B42D01">
        <w:rPr>
          <w:rFonts w:ascii="Calibri" w:hAnsi="Calibri" w:cs="Calibri"/>
          <w:color w:val="000000"/>
        </w:rPr>
        <w:t xml:space="preserve">mice </w:t>
      </w:r>
      <w:r>
        <w:rPr>
          <w:rFonts w:ascii="Calibri" w:hAnsi="Calibri" w:cs="Calibri"/>
          <w:color w:val="000000"/>
        </w:rPr>
        <w:t xml:space="preserve">will be </w:t>
      </w:r>
      <w:r w:rsidRPr="00B42D01">
        <w:rPr>
          <w:rFonts w:ascii="Calibri" w:hAnsi="Calibri" w:cs="Calibri"/>
          <w:color w:val="000000"/>
        </w:rPr>
        <w:t xml:space="preserve">maintained </w:t>
      </w:r>
      <w:r w:rsidRPr="008A7374">
        <w:rPr>
          <w:rFonts w:ascii="Calibri" w:hAnsi="Calibri" w:cs="Calibri"/>
          <w:i/>
          <w:color w:val="000000"/>
        </w:rPr>
        <w:t>in vitro</w:t>
      </w:r>
      <w:r>
        <w:rPr>
          <w:rFonts w:ascii="Calibri" w:hAnsi="Calibri" w:cs="Calibri"/>
          <w:color w:val="000000"/>
        </w:rPr>
        <w:t xml:space="preserve"> and pharmacological agents added</w:t>
      </w:r>
      <w:r w:rsidRPr="00B42D0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to induce an </w:t>
      </w:r>
      <w:r w:rsidRPr="00B42D01">
        <w:rPr>
          <w:rFonts w:ascii="Calibri" w:hAnsi="Calibri" w:cs="Calibri"/>
          <w:color w:val="000000"/>
        </w:rPr>
        <w:t>acute cellular stress response by evoking abnormal network activity.</w:t>
      </w:r>
      <w:r>
        <w:rPr>
          <w:rFonts w:ascii="Calibri" w:hAnsi="Calibri" w:cs="Calibri"/>
          <w:color w:val="000000"/>
        </w:rPr>
        <w:t xml:space="preserve"> </w:t>
      </w:r>
      <w:r w:rsidRPr="00B42D01">
        <w:rPr>
          <w:rFonts w:ascii="Calibri" w:hAnsi="Calibri" w:cs="Calibri"/>
          <w:color w:val="000000"/>
        </w:rPr>
        <w:t>Neurophysiological measurements will be made</w:t>
      </w:r>
      <w:r>
        <w:rPr>
          <w:rFonts w:ascii="Calibri" w:hAnsi="Calibri" w:cs="Calibri"/>
          <w:color w:val="000000"/>
        </w:rPr>
        <w:t xml:space="preserve"> of</w:t>
      </w:r>
      <w:r w:rsidRPr="00B42D01">
        <w:rPr>
          <w:rFonts w:ascii="Calibri" w:hAnsi="Calibri" w:cs="Calibri"/>
          <w:color w:val="000000"/>
        </w:rPr>
        <w:t xml:space="preserve"> the</w:t>
      </w:r>
      <w:r>
        <w:rPr>
          <w:rFonts w:ascii="Calibri" w:hAnsi="Calibri" w:cs="Calibri"/>
          <w:color w:val="000000"/>
        </w:rPr>
        <w:t xml:space="preserve"> magnitude of, and</w:t>
      </w:r>
      <w:r w:rsidRPr="00B42D01">
        <w:rPr>
          <w:rFonts w:ascii="Calibri" w:hAnsi="Calibri" w:cs="Calibri"/>
          <w:color w:val="000000"/>
        </w:rPr>
        <w:t xml:space="preserve"> susceptibility to</w:t>
      </w:r>
      <w:r>
        <w:rPr>
          <w:rFonts w:ascii="Calibri" w:hAnsi="Calibri" w:cs="Calibri"/>
          <w:color w:val="000000"/>
        </w:rPr>
        <w:t>,</w:t>
      </w:r>
      <w:r w:rsidRPr="00B42D01">
        <w:rPr>
          <w:rFonts w:ascii="Calibri" w:hAnsi="Calibri" w:cs="Calibri"/>
          <w:color w:val="000000"/>
        </w:rPr>
        <w:t xml:space="preserve"> a</w:t>
      </w:r>
      <w:r>
        <w:rPr>
          <w:rFonts w:ascii="Calibri" w:hAnsi="Calibri" w:cs="Calibri"/>
          <w:color w:val="000000"/>
        </w:rPr>
        <w:t xml:space="preserve">bnormal activity. Then the </w:t>
      </w:r>
      <w:r w:rsidRPr="00B42D01">
        <w:rPr>
          <w:rFonts w:ascii="Calibri" w:hAnsi="Calibri" w:cs="Calibri"/>
          <w:color w:val="000000"/>
        </w:rPr>
        <w:t>slices</w:t>
      </w:r>
      <w:r>
        <w:rPr>
          <w:rFonts w:ascii="Calibri" w:hAnsi="Calibri" w:cs="Calibri"/>
          <w:color w:val="000000"/>
        </w:rPr>
        <w:t xml:space="preserve"> will be fixed for </w:t>
      </w:r>
      <w:r w:rsidRPr="00B42D01">
        <w:rPr>
          <w:rFonts w:ascii="Calibri" w:hAnsi="Calibri" w:cs="Calibri"/>
          <w:color w:val="000000"/>
        </w:rPr>
        <w:t xml:space="preserve">re-sectioning </w:t>
      </w:r>
      <w:r>
        <w:rPr>
          <w:rFonts w:ascii="Calibri" w:hAnsi="Calibri" w:cs="Calibri"/>
          <w:color w:val="000000"/>
        </w:rPr>
        <w:t xml:space="preserve">and </w:t>
      </w:r>
      <w:r w:rsidRPr="00B42D01">
        <w:rPr>
          <w:rFonts w:ascii="Calibri" w:hAnsi="Calibri" w:cs="Calibri"/>
          <w:color w:val="000000"/>
        </w:rPr>
        <w:t>immunofluorescent staining</w:t>
      </w:r>
      <w:r>
        <w:rPr>
          <w:rFonts w:ascii="Calibri" w:hAnsi="Calibri" w:cs="Calibri"/>
          <w:color w:val="000000"/>
        </w:rPr>
        <w:t xml:space="preserve"> </w:t>
      </w:r>
      <w:r w:rsidRPr="00B42D01">
        <w:rPr>
          <w:rFonts w:ascii="Calibri" w:hAnsi="Calibri" w:cs="Calibri"/>
          <w:color w:val="000000"/>
        </w:rPr>
        <w:t xml:space="preserve">to </w:t>
      </w:r>
      <w:r>
        <w:rPr>
          <w:rFonts w:ascii="Calibri" w:hAnsi="Calibri" w:cs="Calibri"/>
          <w:color w:val="000000"/>
        </w:rPr>
        <w:t xml:space="preserve">assess </w:t>
      </w:r>
      <w:r w:rsidRPr="00B42D01">
        <w:rPr>
          <w:rFonts w:ascii="Calibri" w:hAnsi="Calibri" w:cs="Calibri"/>
          <w:color w:val="000000"/>
        </w:rPr>
        <w:t xml:space="preserve">the extent of astrocytic and microglial activation and </w:t>
      </w:r>
      <w:r>
        <w:rPr>
          <w:rFonts w:ascii="Calibri" w:hAnsi="Calibri" w:cs="Calibri"/>
          <w:color w:val="000000"/>
        </w:rPr>
        <w:t>neuroinflammatory marker expression using confocal microscopy and quantitative image analysis</w:t>
      </w:r>
      <w:r w:rsidRPr="00B42D01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Both stressed and untreated A30P and </w:t>
      </w:r>
      <w:proofErr w:type="spellStart"/>
      <w:r>
        <w:rPr>
          <w:rFonts w:ascii="Calibri" w:hAnsi="Calibri" w:cs="Calibri"/>
          <w:color w:val="000000"/>
        </w:rPr>
        <w:t>wt</w:t>
      </w:r>
      <w:proofErr w:type="spellEnd"/>
      <w:r>
        <w:rPr>
          <w:rFonts w:ascii="Calibri" w:hAnsi="Calibri" w:cs="Calibri"/>
          <w:color w:val="000000"/>
        </w:rPr>
        <w:t xml:space="preserve"> slices will be compared. </w:t>
      </w:r>
    </w:p>
    <w:p w14:paraId="6FFE92A9" w14:textId="2C33840C" w:rsidR="000D3A84" w:rsidRDefault="000D3A84">
      <w:r>
        <w:t xml:space="preserve">File: USVRS Project Resume </w:t>
      </w:r>
      <w:r w:rsidR="00572434">
        <w:t>202223</w:t>
      </w:r>
      <w:r w:rsidR="00FA0730">
        <w:t>Final</w:t>
      </w:r>
      <w:r w:rsidR="00572434">
        <w:t xml:space="preserve"> </w:t>
      </w:r>
      <w:r w:rsidR="009E3348">
        <w:t>CLOWRY</w:t>
      </w:r>
    </w:p>
    <w:sectPr w:rsidR="000D3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84"/>
    <w:rsid w:val="00075213"/>
    <w:rsid w:val="000D3A84"/>
    <w:rsid w:val="00191893"/>
    <w:rsid w:val="002A7AFB"/>
    <w:rsid w:val="00300945"/>
    <w:rsid w:val="00572434"/>
    <w:rsid w:val="00600989"/>
    <w:rsid w:val="006E092F"/>
    <w:rsid w:val="007333EB"/>
    <w:rsid w:val="00792BEA"/>
    <w:rsid w:val="008B6857"/>
    <w:rsid w:val="009014B7"/>
    <w:rsid w:val="009604C3"/>
    <w:rsid w:val="009E3348"/>
    <w:rsid w:val="009E5E3F"/>
    <w:rsid w:val="00A32C7E"/>
    <w:rsid w:val="00BA08F9"/>
    <w:rsid w:val="00F811F4"/>
    <w:rsid w:val="00F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3006"/>
  <w15:chartTrackingRefBased/>
  <w15:docId w15:val="{75D30470-1FBE-4889-8E9D-DD269FA4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3A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Piggott, Maryanne</dc:creator>
  <cp:keywords/>
  <dc:description/>
  <cp:lastModifiedBy>Mary-Anne Piggott</cp:lastModifiedBy>
  <cp:revision>2</cp:revision>
  <cp:lastPrinted>2023-05-19T10:29:00Z</cp:lastPrinted>
  <dcterms:created xsi:type="dcterms:W3CDTF">2023-05-19T10:29:00Z</dcterms:created>
  <dcterms:modified xsi:type="dcterms:W3CDTF">2023-05-19T10:29:00Z</dcterms:modified>
</cp:coreProperties>
</file>