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AAD21" w14:textId="78CBAB49" w:rsidR="0042592F" w:rsidRPr="00D0425D" w:rsidRDefault="00D0425D" w:rsidP="00D0425D">
      <w:pPr>
        <w:jc w:val="center"/>
        <w:rPr>
          <w:b/>
          <w:bCs/>
        </w:rPr>
      </w:pPr>
      <w:r w:rsidRPr="00D0425D">
        <w:rPr>
          <w:b/>
          <w:bCs/>
        </w:rPr>
        <w:t>PROJECT RESUME UPDATED SEPTEMBER 2019</w:t>
      </w:r>
    </w:p>
    <w:p w14:paraId="25BE3402" w14:textId="77777777" w:rsidR="00D0425D" w:rsidRPr="00D0425D" w:rsidRDefault="00D0425D" w:rsidP="00D0425D">
      <w:pPr>
        <w:widowControl w:val="0"/>
        <w:autoSpaceDE w:val="0"/>
        <w:autoSpaceDN w:val="0"/>
        <w:adjustRightInd w:val="0"/>
        <w:rPr>
          <w:rFonts w:ascii="Calibri" w:hAnsi="Calibri" w:cs="Calibri"/>
        </w:rPr>
      </w:pPr>
      <w:r w:rsidRPr="00D0425D">
        <w:rPr>
          <w:rFonts w:ascii="Calibri" w:hAnsi="Calibri" w:cs="Calibri"/>
        </w:rPr>
        <w:t>First Supervisor: Lyndsay Murray, Centre For integrative Physiology, University of Edinburgh</w:t>
      </w:r>
    </w:p>
    <w:p w14:paraId="0CDDFD15" w14:textId="77777777" w:rsidR="00D0425D" w:rsidRPr="00D0425D" w:rsidRDefault="00D0425D" w:rsidP="00D0425D">
      <w:pPr>
        <w:widowControl w:val="0"/>
        <w:autoSpaceDE w:val="0"/>
        <w:autoSpaceDN w:val="0"/>
        <w:adjustRightInd w:val="0"/>
        <w:rPr>
          <w:rFonts w:ascii="Calibri" w:hAnsi="Calibri" w:cs="Calibri"/>
        </w:rPr>
      </w:pPr>
      <w:r w:rsidRPr="00D0425D">
        <w:rPr>
          <w:rFonts w:ascii="Calibri" w:hAnsi="Calibri" w:cs="Calibri"/>
        </w:rPr>
        <w:t>Second Supervisor: Kosala Dissanayake, Centre for Cognitive and Neural Systems, University of Edinburgh</w:t>
      </w:r>
    </w:p>
    <w:p w14:paraId="1E0FF65F"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Arial"/>
          <w:b/>
          <w:color w:val="000000"/>
          <w:u w:val="single"/>
          <w:lang w:eastAsia="en-GB"/>
        </w:rPr>
      </w:pPr>
      <w:r>
        <w:rPr>
          <w:rFonts w:ascii="Calibri" w:eastAsia="Times New Roman" w:hAnsi="Calibri" w:cs="Arial"/>
          <w:b/>
          <w:color w:val="000000"/>
          <w:u w:val="single"/>
          <w:lang w:eastAsia="en-GB"/>
        </w:rPr>
        <w:t>Investigating degeneration in morphologically distinct forms of axonal degeneration</w:t>
      </w:r>
    </w:p>
    <w:p w14:paraId="656B50D5"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Arial"/>
          <w:color w:val="000000"/>
          <w:sz w:val="10"/>
          <w:lang w:eastAsia="en-GB"/>
        </w:rPr>
      </w:pPr>
    </w:p>
    <w:p w14:paraId="6108EFAA"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 xml:space="preserve">The axons of motor neurons degenerate during development, following injury and across a range of neurodegenerative conditions, including motor neurone diseases. Degeneration can proceed as a retraction (die-back) away from the muscle, or as a fragmentation of the axon, in a process known as Wallerian degeneration. Despite morphological differences in degeneration under different physiological conditions, the extent of mechanistic overlap is unclear. We aim to investigate the molecular mechanisms of morphologically distinct types of axon </w:t>
      </w:r>
      <w:proofErr w:type="gramStart"/>
      <w:r>
        <w:rPr>
          <w:rFonts w:ascii="Calibri" w:eastAsia="Times New Roman" w:hAnsi="Calibri" w:cs="Arial"/>
          <w:color w:val="000000"/>
          <w:lang w:eastAsia="en-GB"/>
        </w:rPr>
        <w:t>degeneration, and</w:t>
      </w:r>
      <w:proofErr w:type="gramEnd"/>
      <w:r>
        <w:rPr>
          <w:rFonts w:ascii="Calibri" w:eastAsia="Times New Roman" w:hAnsi="Calibri" w:cs="Arial"/>
          <w:color w:val="000000"/>
          <w:lang w:eastAsia="en-GB"/>
        </w:rPr>
        <w:t xml:space="preserve"> determine whether there are common or distinct pathways. </w:t>
      </w:r>
    </w:p>
    <w:p w14:paraId="2EDF495D"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ind w:firstLine="720"/>
        <w:jc w:val="both"/>
        <w:rPr>
          <w:rFonts w:ascii="Calibri" w:eastAsia="Times New Roman" w:hAnsi="Calibri" w:cs="Arial"/>
          <w:color w:val="000000"/>
          <w:sz w:val="8"/>
          <w:lang w:eastAsia="en-GB"/>
        </w:rPr>
      </w:pPr>
    </w:p>
    <w:p w14:paraId="470E513F"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 xml:space="preserve">We have expanded and optimised an </w:t>
      </w:r>
      <w:r>
        <w:rPr>
          <w:rFonts w:ascii="Calibri" w:eastAsia="Times New Roman" w:hAnsi="Calibri" w:cs="Arial"/>
          <w:i/>
          <w:color w:val="000000"/>
          <w:lang w:eastAsia="en-GB"/>
        </w:rPr>
        <w:t>ex vivo</w:t>
      </w:r>
      <w:r>
        <w:rPr>
          <w:rFonts w:ascii="Calibri" w:eastAsia="Times New Roman" w:hAnsi="Calibri" w:cs="Arial"/>
          <w:color w:val="000000"/>
          <w:lang w:eastAsia="en-GB"/>
        </w:rPr>
        <w:t xml:space="preserve"> model previously developed to examine axon degeneration in tibial nerve/lumbrical muscle preparations, to introduce abdominal and cranial nerve/muscle preparations from the mouse. Using this model, we have demonstrated that the rate of Wallerian degeneration in all muscles examined is age-dependent, with neonatal muscles showing significant delays in Wallerian degeneration following transection when compared to adults (Fig. 1). Interestingly, there in intermuscular variability in the rate of degeneration, with some muscles displaying a greater rate of axon degeneration than others.  We further show that the rate of Wallerian degeneration is increased in a mouse model of motor neuron disease.  This implies there is likely to be a common mechanism of axon degeneration following injury and during disease. We have also investigated the effect of P53 knockout on morphologically distinct types of </w:t>
      </w:r>
      <w:proofErr w:type="gramStart"/>
      <w:r>
        <w:rPr>
          <w:rFonts w:ascii="Calibri" w:eastAsia="Times New Roman" w:hAnsi="Calibri" w:cs="Arial"/>
          <w:color w:val="000000"/>
          <w:lang w:eastAsia="en-GB"/>
        </w:rPr>
        <w:t>degeneration, and</w:t>
      </w:r>
      <w:proofErr w:type="gramEnd"/>
      <w:r>
        <w:rPr>
          <w:rFonts w:ascii="Calibri" w:eastAsia="Times New Roman" w:hAnsi="Calibri" w:cs="Arial"/>
          <w:color w:val="000000"/>
          <w:lang w:eastAsia="en-GB"/>
        </w:rPr>
        <w:t xml:space="preserve"> show that reduced levels of P53 do not affect the rate of synaptic and axonal degeneration which occurs during normal development or during Wallerian Degeneration. </w:t>
      </w:r>
    </w:p>
    <w:p w14:paraId="0D1CE2AD" w14:textId="6AD720EC"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Times New Roman" w:hAnsi="Calibri" w:cs="Arial"/>
          <w:color w:val="000000"/>
          <w:lang w:eastAsia="en-GB"/>
        </w:rPr>
      </w:pPr>
      <w:r>
        <w:rPr>
          <w:rFonts w:ascii="Calibri" w:eastAsia="Times New Roman" w:hAnsi="Calibri" w:cs="Arial"/>
          <w:noProof/>
          <w:color w:val="000000"/>
          <w:lang w:eastAsia="en-GB"/>
        </w:rPr>
        <w:drawing>
          <wp:inline distT="0" distB="0" distL="0" distR="0" wp14:anchorId="772D407D" wp14:editId="3F9C50DE">
            <wp:extent cx="2686050" cy="423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6044" r="47063"/>
                    <a:stretch>
                      <a:fillRect/>
                    </a:stretch>
                  </pic:blipFill>
                  <pic:spPr bwMode="auto">
                    <a:xfrm>
                      <a:off x="0" y="0"/>
                      <a:ext cx="2686050" cy="4238625"/>
                    </a:xfrm>
                    <a:prstGeom prst="rect">
                      <a:avLst/>
                    </a:prstGeom>
                    <a:noFill/>
                    <a:ln>
                      <a:noFill/>
                    </a:ln>
                  </pic:spPr>
                </pic:pic>
              </a:graphicData>
            </a:graphic>
          </wp:inline>
        </w:drawing>
      </w:r>
    </w:p>
    <w:p w14:paraId="2830BBD3"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color w:val="000000"/>
          <w:lang w:eastAsia="en-GB"/>
        </w:rPr>
      </w:pPr>
    </w:p>
    <w:p w14:paraId="70A2513C" w14:textId="77777777" w:rsidR="00D0425D" w:rsidRDefault="00D0425D" w:rsidP="00D0425D">
      <w:pPr>
        <w:pBdr>
          <w:top w:val="single" w:sz="4" w:space="1" w:color="auto"/>
          <w:left w:val="single" w:sz="4" w:space="4" w:color="auto"/>
          <w:bottom w:val="single" w:sz="4" w:space="1" w:color="auto"/>
          <w:right w:val="single" w:sz="4" w:space="4" w:color="auto"/>
        </w:pBdr>
        <w:tabs>
          <w:tab w:val="center" w:pos="4513"/>
          <w:tab w:val="left" w:pos="5130"/>
        </w:tabs>
        <w:suppressAutoHyphens/>
        <w:spacing w:after="0" w:line="240" w:lineRule="auto"/>
        <w:rPr>
          <w:rFonts w:ascii="Calibri" w:eastAsia="Times New Roman" w:hAnsi="Calibri" w:cs="Arial"/>
          <w:color w:val="000000"/>
          <w:lang w:eastAsia="en-GB"/>
        </w:rPr>
      </w:pPr>
    </w:p>
    <w:p w14:paraId="1E1364DC"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Times New Roman" w:hAnsi="Calibri" w:cs="Arial"/>
          <w:b/>
          <w:color w:val="000000"/>
          <w:sz w:val="8"/>
          <w:lang w:eastAsia="en-GB"/>
        </w:rPr>
      </w:pPr>
    </w:p>
    <w:p w14:paraId="6910FB59"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eastAsia="Times New Roman" w:hAnsi="Calibri" w:cs="Arial"/>
          <w:b/>
          <w:color w:val="000000"/>
          <w:lang w:eastAsia="en-GB"/>
        </w:rPr>
      </w:pPr>
      <w:r>
        <w:rPr>
          <w:rFonts w:ascii="Calibri" w:eastAsia="Times New Roman" w:hAnsi="Calibri" w:cs="Arial"/>
          <w:b/>
          <w:color w:val="000000"/>
          <w:sz w:val="20"/>
          <w:szCs w:val="20"/>
          <w:lang w:eastAsia="en-GB"/>
        </w:rPr>
        <w:t xml:space="preserve">Fig. 1: The Rate of Wallerian Degeneration accelerates during postnatal </w:t>
      </w:r>
      <w:proofErr w:type="gramStart"/>
      <w:r>
        <w:rPr>
          <w:rFonts w:ascii="Calibri" w:eastAsia="Times New Roman" w:hAnsi="Calibri" w:cs="Arial"/>
          <w:b/>
          <w:color w:val="000000"/>
          <w:sz w:val="20"/>
          <w:szCs w:val="20"/>
          <w:lang w:eastAsia="en-GB"/>
        </w:rPr>
        <w:t>development, and</w:t>
      </w:r>
      <w:proofErr w:type="gramEnd"/>
      <w:r>
        <w:rPr>
          <w:rFonts w:ascii="Calibri" w:eastAsia="Times New Roman" w:hAnsi="Calibri" w:cs="Arial"/>
          <w:b/>
          <w:color w:val="000000"/>
          <w:sz w:val="20"/>
          <w:szCs w:val="20"/>
          <w:lang w:eastAsia="en-GB"/>
        </w:rPr>
        <w:t xml:space="preserve"> is different in different muscles.</w:t>
      </w:r>
      <w:r>
        <w:rPr>
          <w:rFonts w:ascii="Calibri" w:eastAsia="Times New Roman" w:hAnsi="Calibri" w:cs="Arial"/>
          <w:color w:val="000000"/>
          <w:sz w:val="20"/>
          <w:szCs w:val="20"/>
          <w:lang w:eastAsia="en-GB"/>
        </w:rPr>
        <w:t xml:space="preserve">  Representative confocal micrographs showing neuromuscular junctions labelled with antibodies against neurofilament (NF, green) and synaptic vesicle protein 2 (SV2, green), and </w:t>
      </w:r>
      <w:r>
        <w:rPr>
          <w:rFonts w:ascii="Calibri" w:eastAsia="Times New Roman" w:hAnsi="Calibri" w:cs="Arial"/>
          <w:color w:val="000000"/>
          <w:sz w:val="20"/>
          <w:szCs w:val="20"/>
          <w:lang w:eastAsia="en-GB"/>
        </w:rPr>
        <w:sym w:font="Symbol" w:char="F061"/>
      </w:r>
      <w:r>
        <w:rPr>
          <w:rFonts w:ascii="Calibri" w:eastAsia="Times New Roman" w:hAnsi="Calibri" w:cs="Arial"/>
          <w:color w:val="000000"/>
          <w:sz w:val="20"/>
          <w:szCs w:val="20"/>
          <w:lang w:eastAsia="en-GB"/>
        </w:rPr>
        <w:t>-bungarotoxin (BTX, red) from cranial muscles (</w:t>
      </w:r>
      <w:proofErr w:type="spellStart"/>
      <w:r>
        <w:rPr>
          <w:rFonts w:ascii="Calibri" w:eastAsia="Times New Roman" w:hAnsi="Calibri" w:cs="Arial"/>
          <w:color w:val="000000"/>
          <w:sz w:val="20"/>
          <w:szCs w:val="20"/>
          <w:lang w:eastAsia="en-GB"/>
        </w:rPr>
        <w:t>levator</w:t>
      </w:r>
      <w:proofErr w:type="spellEnd"/>
      <w:r>
        <w:rPr>
          <w:rFonts w:ascii="Calibri" w:eastAsia="Times New Roman" w:hAnsi="Calibri" w:cs="Arial"/>
          <w:color w:val="000000"/>
          <w:sz w:val="20"/>
          <w:szCs w:val="20"/>
          <w:lang w:eastAsia="en-GB"/>
        </w:rPr>
        <w:t xml:space="preserve"> </w:t>
      </w:r>
      <w:proofErr w:type="spellStart"/>
      <w:r>
        <w:rPr>
          <w:rFonts w:ascii="Calibri" w:eastAsia="Times New Roman" w:hAnsi="Calibri" w:cs="Arial"/>
          <w:color w:val="000000"/>
          <w:sz w:val="20"/>
          <w:szCs w:val="20"/>
          <w:lang w:eastAsia="en-GB"/>
        </w:rPr>
        <w:t>auris</w:t>
      </w:r>
      <w:proofErr w:type="spellEnd"/>
      <w:r>
        <w:rPr>
          <w:rFonts w:ascii="Calibri" w:eastAsia="Times New Roman" w:hAnsi="Calibri" w:cs="Arial"/>
          <w:color w:val="000000"/>
          <w:sz w:val="20"/>
          <w:szCs w:val="20"/>
          <w:lang w:eastAsia="en-GB"/>
        </w:rPr>
        <w:t xml:space="preserve"> longus rostral (</w:t>
      </w:r>
      <w:proofErr w:type="spellStart"/>
      <w:r>
        <w:rPr>
          <w:rFonts w:ascii="Calibri" w:eastAsia="Times New Roman" w:hAnsi="Calibri" w:cs="Arial"/>
          <w:color w:val="000000"/>
          <w:sz w:val="20"/>
          <w:szCs w:val="20"/>
          <w:lang w:eastAsia="en-GB"/>
        </w:rPr>
        <w:t>LALr</w:t>
      </w:r>
      <w:proofErr w:type="spellEnd"/>
      <w:r>
        <w:rPr>
          <w:rFonts w:ascii="Calibri" w:eastAsia="Times New Roman" w:hAnsi="Calibri" w:cs="Arial"/>
          <w:color w:val="000000"/>
          <w:sz w:val="20"/>
          <w:szCs w:val="20"/>
          <w:lang w:eastAsia="en-GB"/>
        </w:rPr>
        <w:t xml:space="preserve">) and abductor </w:t>
      </w:r>
      <w:proofErr w:type="spellStart"/>
      <w:r>
        <w:rPr>
          <w:rFonts w:ascii="Calibri" w:eastAsia="Times New Roman" w:hAnsi="Calibri" w:cs="Arial"/>
          <w:color w:val="000000"/>
          <w:sz w:val="20"/>
          <w:szCs w:val="20"/>
          <w:lang w:eastAsia="en-GB"/>
        </w:rPr>
        <w:t>auris</w:t>
      </w:r>
      <w:proofErr w:type="spellEnd"/>
      <w:r>
        <w:rPr>
          <w:rFonts w:ascii="Calibri" w:eastAsia="Times New Roman" w:hAnsi="Calibri" w:cs="Arial"/>
          <w:color w:val="000000"/>
          <w:sz w:val="20"/>
          <w:szCs w:val="20"/>
          <w:lang w:eastAsia="en-GB"/>
        </w:rPr>
        <w:t xml:space="preserve"> longus (AAL)) which have been maintained ex vivo at 30</w:t>
      </w:r>
      <w:r>
        <w:rPr>
          <w:rFonts w:ascii="Calibri" w:eastAsia="Times New Roman" w:hAnsi="Calibri" w:cs="Arial"/>
          <w:color w:val="000000"/>
          <w:sz w:val="20"/>
          <w:szCs w:val="20"/>
          <w:lang w:eastAsia="en-GB"/>
        </w:rPr>
        <w:sym w:font="Symbol" w:char="F0B0"/>
      </w:r>
      <w:r>
        <w:rPr>
          <w:rFonts w:ascii="Calibri" w:eastAsia="Times New Roman" w:hAnsi="Calibri" w:cs="Arial"/>
          <w:color w:val="000000"/>
          <w:sz w:val="20"/>
          <w:szCs w:val="20"/>
          <w:lang w:eastAsia="en-GB"/>
        </w:rPr>
        <w:t>C for 24 hours. Note that levels of innervation remaining following injury decline as age increases, supporting the finding that rates of degeneration are developmentally regulated. Also note that levels of denervation are also non-uniform across these muscle bands, with the AAL being noticeably more denervated at younger time points. Scale bar = 20</w:t>
      </w:r>
      <w:r>
        <w:rPr>
          <w:rFonts w:ascii="Calibri" w:eastAsia="Times New Roman" w:hAnsi="Calibri" w:cs="Arial"/>
          <w:color w:val="000000"/>
          <w:sz w:val="20"/>
          <w:szCs w:val="20"/>
          <w:lang w:eastAsia="en-GB"/>
        </w:rPr>
        <w:sym w:font="Symbol" w:char="F06D"/>
      </w:r>
      <w:r>
        <w:rPr>
          <w:rFonts w:ascii="Calibri" w:eastAsia="Times New Roman" w:hAnsi="Calibri" w:cs="Arial"/>
          <w:color w:val="000000"/>
          <w:sz w:val="20"/>
          <w:szCs w:val="20"/>
          <w:lang w:eastAsia="en-GB"/>
        </w:rPr>
        <w:t>M.</w:t>
      </w:r>
    </w:p>
    <w:p w14:paraId="4B8784B6"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
          <w:color w:val="000000"/>
          <w:lang w:eastAsia="en-GB"/>
        </w:rPr>
      </w:pPr>
    </w:p>
    <w:p w14:paraId="28FB0BDE" w14:textId="77777777" w:rsidR="00D0425D" w:rsidRDefault="00D0425D" w:rsidP="00D0425D">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
          <w:color w:val="000000"/>
          <w:lang w:eastAsia="en-GB"/>
        </w:rPr>
      </w:pPr>
    </w:p>
    <w:p w14:paraId="55D87454" w14:textId="424C1944" w:rsidR="00D0425D" w:rsidRDefault="00D0425D"/>
    <w:p w14:paraId="7C72211D" w14:textId="2E6C8BAB" w:rsidR="00D0425D" w:rsidRPr="00D0425D" w:rsidRDefault="00D0425D">
      <w:pPr>
        <w:rPr>
          <w:i/>
          <w:iCs/>
          <w:sz w:val="20"/>
          <w:szCs w:val="20"/>
        </w:rPr>
      </w:pPr>
      <w:r w:rsidRPr="00D0425D">
        <w:rPr>
          <w:i/>
          <w:iCs/>
          <w:sz w:val="20"/>
          <w:szCs w:val="20"/>
        </w:rPr>
        <w:t>File: Project Resume Updated Sept 2019 Murray -v1 - 071019</w:t>
      </w:r>
    </w:p>
    <w:sectPr w:rsidR="00D0425D" w:rsidRPr="00D042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B8EE" w14:textId="77777777" w:rsidR="001E6EA9" w:rsidRDefault="001E6EA9" w:rsidP="00D0425D">
      <w:pPr>
        <w:spacing w:after="0" w:line="240" w:lineRule="auto"/>
      </w:pPr>
      <w:r>
        <w:separator/>
      </w:r>
    </w:p>
  </w:endnote>
  <w:endnote w:type="continuationSeparator" w:id="0">
    <w:p w14:paraId="55E077C1" w14:textId="77777777" w:rsidR="001E6EA9" w:rsidRDefault="001E6EA9" w:rsidP="00D0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4A24" w14:textId="77777777" w:rsidR="001E6EA9" w:rsidRDefault="001E6EA9" w:rsidP="00D0425D">
      <w:pPr>
        <w:spacing w:after="0" w:line="240" w:lineRule="auto"/>
      </w:pPr>
      <w:r>
        <w:separator/>
      </w:r>
    </w:p>
  </w:footnote>
  <w:footnote w:type="continuationSeparator" w:id="0">
    <w:p w14:paraId="05CBD165" w14:textId="77777777" w:rsidR="001E6EA9" w:rsidRDefault="001E6EA9" w:rsidP="00D04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14:paraId="1A6225AD" w14:textId="77777777" w:rsidR="00D0425D" w:rsidRDefault="00D0425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35DCACC" w14:textId="77777777" w:rsidR="00D0425D" w:rsidRDefault="00D04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5D"/>
    <w:rsid w:val="001E6EA9"/>
    <w:rsid w:val="0042592F"/>
    <w:rsid w:val="00A316E2"/>
    <w:rsid w:val="00D0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E322"/>
  <w15:chartTrackingRefBased/>
  <w15:docId w15:val="{C1499CF8-A03E-49FD-9DCF-FE6DC0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2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5D"/>
  </w:style>
  <w:style w:type="paragraph" w:styleId="Footer">
    <w:name w:val="footer"/>
    <w:basedOn w:val="Normal"/>
    <w:link w:val="FooterChar"/>
    <w:uiPriority w:val="99"/>
    <w:unhideWhenUsed/>
    <w:rsid w:val="00D0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69969">
      <w:bodyDiv w:val="1"/>
      <w:marLeft w:val="0"/>
      <w:marRight w:val="0"/>
      <w:marTop w:val="0"/>
      <w:marBottom w:val="0"/>
      <w:divBdr>
        <w:top w:val="none" w:sz="0" w:space="0" w:color="auto"/>
        <w:left w:val="none" w:sz="0" w:space="0" w:color="auto"/>
        <w:bottom w:val="none" w:sz="0" w:space="0" w:color="auto"/>
        <w:right w:val="none" w:sz="0" w:space="0" w:color="auto"/>
      </w:divBdr>
    </w:div>
    <w:div w:id="18237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2019-10-07T13:14:00Z</cp:lastPrinted>
  <dcterms:created xsi:type="dcterms:W3CDTF">2019-10-07T13:09:00Z</dcterms:created>
  <dcterms:modified xsi:type="dcterms:W3CDTF">2019-10-07T13:14:00Z</dcterms:modified>
</cp:coreProperties>
</file>