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7613" w14:textId="77777777" w:rsidR="00BE7BB0" w:rsidRDefault="00BE7BB0" w:rsidP="00BE7BB0">
      <w:pPr>
        <w:pBdr>
          <w:top w:val="single" w:sz="4" w:space="1" w:color="auto"/>
          <w:left w:val="single" w:sz="4" w:space="4" w:color="auto"/>
          <w:bottom w:val="single" w:sz="4" w:space="1" w:color="auto"/>
          <w:right w:val="single" w:sz="4" w:space="4" w:color="auto"/>
        </w:pBdr>
        <w:suppressAutoHyphens/>
        <w:spacing w:after="0" w:line="240" w:lineRule="auto"/>
        <w:rPr>
          <w:rFonts w:ascii="Calibri" w:eastAsia="Times New Roman" w:hAnsi="Calibri" w:cs="Arial"/>
          <w:bCs/>
          <w:color w:val="000000"/>
          <w:lang w:eastAsia="en-GB"/>
        </w:rPr>
      </w:pPr>
      <w:r>
        <w:rPr>
          <w:rFonts w:ascii="Calibri" w:eastAsia="Times New Roman" w:hAnsi="Calibri" w:cs="Arial"/>
          <w:bCs/>
          <w:color w:val="000000"/>
          <w:lang w:eastAsia="en-GB"/>
        </w:rPr>
        <w:t>Project Resume</w:t>
      </w:r>
    </w:p>
    <w:p w14:paraId="1A68FE9A" w14:textId="4E735972" w:rsidR="00BE7BB0" w:rsidRDefault="00BE7BB0" w:rsidP="00BE7BB0">
      <w:pPr>
        <w:pBdr>
          <w:top w:val="single" w:sz="4" w:space="1" w:color="auto"/>
          <w:left w:val="single" w:sz="4" w:space="4" w:color="auto"/>
          <w:bottom w:val="single" w:sz="4" w:space="1" w:color="auto"/>
          <w:right w:val="single" w:sz="4" w:space="4" w:color="auto"/>
        </w:pBdr>
        <w:suppressAutoHyphens/>
        <w:spacing w:after="0" w:line="240" w:lineRule="auto"/>
        <w:rPr>
          <w:rFonts w:ascii="Calibri" w:eastAsia="Times New Roman" w:hAnsi="Calibri" w:cs="Arial"/>
          <w:bCs/>
          <w:color w:val="000000"/>
          <w:lang w:eastAsia="en-GB"/>
        </w:rPr>
      </w:pPr>
      <w:r>
        <w:rPr>
          <w:rFonts w:ascii="Calibri" w:eastAsia="Times New Roman" w:hAnsi="Calibri" w:cs="Arial"/>
          <w:bCs/>
          <w:color w:val="000000"/>
          <w:lang w:eastAsia="en-GB"/>
        </w:rPr>
        <w:t xml:space="preserve"> </w:t>
      </w:r>
    </w:p>
    <w:p w14:paraId="7706F42B" w14:textId="760AE10F" w:rsidR="00BE7BB0" w:rsidRDefault="00BE7BB0" w:rsidP="00BE7BB0">
      <w:pPr>
        <w:pBdr>
          <w:top w:val="single" w:sz="4" w:space="1" w:color="auto"/>
          <w:left w:val="single" w:sz="4" w:space="4" w:color="auto"/>
          <w:bottom w:val="single" w:sz="4" w:space="1" w:color="auto"/>
          <w:right w:val="single" w:sz="4" w:space="4" w:color="auto"/>
        </w:pBdr>
        <w:suppressAutoHyphens/>
        <w:spacing w:after="0" w:line="240" w:lineRule="auto"/>
        <w:rPr>
          <w:rFonts w:ascii="Calibri" w:eastAsia="Times New Roman" w:hAnsi="Calibri" w:cs="Arial"/>
          <w:bCs/>
          <w:color w:val="000000"/>
          <w:lang w:eastAsia="en-GB"/>
        </w:rPr>
      </w:pPr>
      <w:r>
        <w:rPr>
          <w:rFonts w:ascii="Calibri" w:eastAsia="Times New Roman" w:hAnsi="Calibri" w:cs="Arial"/>
          <w:bCs/>
          <w:color w:val="000000"/>
          <w:lang w:eastAsia="en-GB"/>
        </w:rPr>
        <w:t xml:space="preserve">Title: </w:t>
      </w:r>
      <w:r>
        <w:rPr>
          <w:rFonts w:ascii="Calibri" w:eastAsia="Times New Roman" w:hAnsi="Calibri" w:cs="Arial"/>
          <w:b/>
          <w:color w:val="000000"/>
          <w:lang w:eastAsia="en-GB"/>
        </w:rPr>
        <w:t>Morphogenesis of the Molar Tooth Cusps and Sulci</w:t>
      </w:r>
    </w:p>
    <w:p w14:paraId="60D2172C" w14:textId="77777777" w:rsidR="00BE7BB0" w:rsidRDefault="00BE7BB0" w:rsidP="00BE7BB0">
      <w:pPr>
        <w:pBdr>
          <w:top w:val="single" w:sz="4" w:space="1" w:color="auto"/>
          <w:left w:val="single" w:sz="4" w:space="4" w:color="auto"/>
          <w:bottom w:val="single" w:sz="4" w:space="1" w:color="auto"/>
          <w:right w:val="single" w:sz="4" w:space="4" w:color="auto"/>
        </w:pBdr>
        <w:suppressAutoHyphens/>
        <w:spacing w:after="0" w:line="240" w:lineRule="auto"/>
        <w:rPr>
          <w:rFonts w:ascii="Calibri" w:eastAsia="Times New Roman" w:hAnsi="Calibri" w:cs="Arial"/>
          <w:bCs/>
          <w:color w:val="000000"/>
          <w:lang w:eastAsia="en-GB"/>
        </w:rPr>
      </w:pPr>
      <w:r>
        <w:rPr>
          <w:rFonts w:ascii="Calibri" w:eastAsia="Times New Roman" w:hAnsi="Calibri" w:cs="Arial"/>
          <w:bCs/>
          <w:color w:val="000000"/>
          <w:lang w:eastAsia="en-GB"/>
        </w:rPr>
        <w:t xml:space="preserve">Description: The generation of the biting surface of the molar tooth is largely established by the peaks (cusps) and valleys (sulci) of the underlying dental epithelium. Most theories of how these are generated have focused on cell proliferation, which is arrested in the prospective cusps, and the idea that the epithelial topography arises from buckling to accommodate increasing surface area within the confining dental capsule. This project first tested that hypothesis in mice and found that inhibition of proliferation did not prevent cusp or sulcus formation, refuting the conventional wisdom. Instead, cell shape changes, myosin- and focal adhesion kinase-inhibition experiments, and epithelium-specific myosin conditional genetic knockouts all pointed towards generation of bending forces within the epithelium, with some potential roles for immediately sub-adjacent mesenchyme. Preliminary laser-capture microdissection </w:t>
      </w:r>
      <w:proofErr w:type="spellStart"/>
      <w:r>
        <w:rPr>
          <w:rFonts w:ascii="Calibri" w:eastAsia="Times New Roman" w:hAnsi="Calibri" w:cs="Arial"/>
          <w:bCs/>
          <w:color w:val="000000"/>
          <w:lang w:eastAsia="en-GB"/>
        </w:rPr>
        <w:t>RNAseq</w:t>
      </w:r>
      <w:proofErr w:type="spellEnd"/>
      <w:r>
        <w:rPr>
          <w:rFonts w:ascii="Calibri" w:eastAsia="Times New Roman" w:hAnsi="Calibri" w:cs="Arial"/>
          <w:bCs/>
          <w:color w:val="000000"/>
          <w:lang w:eastAsia="en-GB"/>
        </w:rPr>
        <w:t xml:space="preserve"> experiments suggested potential molecular components of the cusp and sulcus generating apparatus.</w:t>
      </w:r>
    </w:p>
    <w:p w14:paraId="76CFCF11" w14:textId="77777777" w:rsidR="00BE7BB0" w:rsidRDefault="00BE7BB0" w:rsidP="00BE7BB0">
      <w:pPr>
        <w:pBdr>
          <w:top w:val="single" w:sz="4" w:space="1" w:color="auto"/>
          <w:left w:val="single" w:sz="4" w:space="4" w:color="auto"/>
          <w:bottom w:val="single" w:sz="4" w:space="1" w:color="auto"/>
          <w:right w:val="single" w:sz="4" w:space="4" w:color="auto"/>
        </w:pBdr>
        <w:suppressAutoHyphens/>
        <w:spacing w:after="0" w:line="240" w:lineRule="auto"/>
        <w:rPr>
          <w:rFonts w:ascii="Calibri" w:eastAsia="Times New Roman" w:hAnsi="Calibri" w:cs="Arial"/>
          <w:bCs/>
          <w:color w:val="000000"/>
          <w:lang w:eastAsia="en-GB"/>
        </w:rPr>
      </w:pPr>
    </w:p>
    <w:p w14:paraId="1D47C872" w14:textId="77777777" w:rsidR="00BE7BB0" w:rsidRDefault="00BE7BB0" w:rsidP="00BE7BB0">
      <w:pPr>
        <w:pBdr>
          <w:top w:val="single" w:sz="4" w:space="1" w:color="auto"/>
          <w:left w:val="single" w:sz="4" w:space="4" w:color="auto"/>
          <w:bottom w:val="single" w:sz="4" w:space="1" w:color="auto"/>
          <w:right w:val="single" w:sz="4" w:space="4" w:color="auto"/>
        </w:pBdr>
        <w:suppressAutoHyphens/>
        <w:spacing w:after="0" w:line="240" w:lineRule="auto"/>
        <w:rPr>
          <w:rFonts w:ascii="Calibri" w:eastAsia="Times New Roman" w:hAnsi="Calibri" w:cs="Arial"/>
          <w:bCs/>
          <w:color w:val="000000"/>
          <w:lang w:eastAsia="en-GB"/>
        </w:rPr>
      </w:pPr>
      <w:r>
        <w:rPr>
          <w:rFonts w:ascii="Calibri" w:eastAsia="Times New Roman" w:hAnsi="Calibri" w:cs="Arial"/>
          <w:bCs/>
          <w:color w:val="000000"/>
          <w:lang w:eastAsia="en-GB"/>
        </w:rPr>
        <w:t xml:space="preserve">First image shows frontal section of E15.5 molar tooth. Blue is DAPI (nuclei), red is </w:t>
      </w:r>
      <w:proofErr w:type="spellStart"/>
      <w:r>
        <w:rPr>
          <w:rFonts w:ascii="Calibri" w:eastAsia="Times New Roman" w:hAnsi="Calibri" w:cs="Arial"/>
          <w:bCs/>
          <w:color w:val="000000"/>
          <w:lang w:eastAsia="en-GB"/>
        </w:rPr>
        <w:t>mTomato</w:t>
      </w:r>
      <w:proofErr w:type="spellEnd"/>
      <w:r>
        <w:rPr>
          <w:rFonts w:ascii="Calibri" w:eastAsia="Times New Roman" w:hAnsi="Calibri" w:cs="Arial"/>
          <w:bCs/>
          <w:color w:val="000000"/>
          <w:lang w:eastAsia="en-GB"/>
        </w:rPr>
        <w:t>-FP (cell membranes), green is phalloidin (filamentous actin enriched in condensing mesenchyme). Second image is frontal section of E16.0 molar showing sharper sulcus and two cusps. Red is GFP (epithelium-specific keratin-14-Cre driver), magenta is phalloidin.</w:t>
      </w:r>
    </w:p>
    <w:p w14:paraId="65E18E42" w14:textId="673154BF" w:rsidR="00BE7BB0" w:rsidRDefault="00BE7BB0" w:rsidP="00BE7BB0">
      <w:pPr>
        <w:pBdr>
          <w:top w:val="single" w:sz="4" w:space="1" w:color="auto"/>
          <w:left w:val="single" w:sz="4" w:space="4" w:color="auto"/>
          <w:bottom w:val="single" w:sz="4" w:space="1" w:color="auto"/>
          <w:right w:val="single" w:sz="4" w:space="4" w:color="auto"/>
        </w:pBdr>
        <w:suppressAutoHyphens/>
        <w:spacing w:after="0" w:line="240" w:lineRule="auto"/>
        <w:rPr>
          <w:rFonts w:ascii="Calibri" w:eastAsia="Times New Roman" w:hAnsi="Calibri" w:cs="Arial"/>
          <w:bCs/>
          <w:color w:val="000000"/>
          <w:lang w:eastAsia="en-GB"/>
        </w:rPr>
      </w:pPr>
      <w:r>
        <w:rPr>
          <w:rFonts w:ascii="Calibri" w:eastAsia="Times New Roman" w:hAnsi="Calibri" w:cs="Arial"/>
          <w:noProof/>
          <w:color w:val="000000"/>
          <w:lang w:eastAsia="en-GB"/>
        </w:rPr>
        <w:drawing>
          <wp:inline distT="0" distB="0" distL="0" distR="0" wp14:anchorId="350B7BD3" wp14:editId="2E434EC3">
            <wp:extent cx="2235200" cy="2235200"/>
            <wp:effectExtent l="0" t="0" r="0" b="0"/>
            <wp:docPr id="838566595" name="Picture 2" descr="A close-up of a colorful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66595" name="Picture 2" descr="A close-up of a colorful cell&#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5200" cy="2235200"/>
                    </a:xfrm>
                    <a:prstGeom prst="rect">
                      <a:avLst/>
                    </a:prstGeom>
                    <a:noFill/>
                    <a:ln>
                      <a:noFill/>
                    </a:ln>
                  </pic:spPr>
                </pic:pic>
              </a:graphicData>
            </a:graphic>
          </wp:inline>
        </w:drawing>
      </w:r>
      <w:r>
        <w:rPr>
          <w:rFonts w:ascii="Calibri" w:eastAsia="Times New Roman" w:hAnsi="Calibri" w:cs="Arial"/>
          <w:noProof/>
          <w:color w:val="000000"/>
          <w:lang w:eastAsia="en-GB"/>
        </w:rPr>
        <w:drawing>
          <wp:inline distT="0" distB="0" distL="0" distR="0" wp14:anchorId="149A1AE8" wp14:editId="225CCFEB">
            <wp:extent cx="2222500" cy="2235200"/>
            <wp:effectExtent l="0" t="0" r="6350" b="0"/>
            <wp:docPr id="343423492" name="Picture 1" descr="A close-up of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23492" name="Picture 1" descr="A close-up of a he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2500" cy="2235200"/>
                    </a:xfrm>
                    <a:prstGeom prst="rect">
                      <a:avLst/>
                    </a:prstGeom>
                    <a:noFill/>
                    <a:ln>
                      <a:noFill/>
                    </a:ln>
                  </pic:spPr>
                </pic:pic>
              </a:graphicData>
            </a:graphic>
          </wp:inline>
        </w:drawing>
      </w:r>
    </w:p>
    <w:p w14:paraId="191B79CF" w14:textId="77777777" w:rsidR="00BE7BB0" w:rsidRDefault="00BE7BB0" w:rsidP="00BE7BB0">
      <w:pPr>
        <w:suppressAutoHyphens/>
        <w:spacing w:after="0" w:line="240" w:lineRule="auto"/>
        <w:rPr>
          <w:rFonts w:ascii="Calibri" w:eastAsia="Times New Roman" w:hAnsi="Calibri" w:cs="Arial"/>
          <w:b/>
          <w:color w:val="000000"/>
          <w:lang w:eastAsia="en-GB"/>
        </w:rPr>
      </w:pPr>
    </w:p>
    <w:p w14:paraId="249A183B" w14:textId="3C0DB67A" w:rsidR="00CF25C0" w:rsidRDefault="00BE7BB0">
      <w:r>
        <w:t>Project resume Green Piper – uploaded 170124</w:t>
      </w:r>
    </w:p>
    <w:sectPr w:rsidR="00CF2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B0"/>
    <w:rsid w:val="00726CE4"/>
    <w:rsid w:val="00A60294"/>
    <w:rsid w:val="00BE7BB0"/>
    <w:rsid w:val="00CF2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599B"/>
  <w15:chartTrackingRefBased/>
  <w15:docId w15:val="{6B6E013E-EA2C-4A68-A97F-D7BB5E93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B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Piggott</dc:creator>
  <cp:keywords/>
  <dc:description/>
  <cp:lastModifiedBy>Mary-Anne Piggott</cp:lastModifiedBy>
  <cp:revision>1</cp:revision>
  <cp:lastPrinted>2024-01-17T18:23:00Z</cp:lastPrinted>
  <dcterms:created xsi:type="dcterms:W3CDTF">2024-01-17T18:20:00Z</dcterms:created>
  <dcterms:modified xsi:type="dcterms:W3CDTF">2024-01-17T18:23:00Z</dcterms:modified>
</cp:coreProperties>
</file>