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F66" w:rsidRDefault="009E4F66" w:rsidP="009E4F66">
      <w:pPr>
        <w:rPr>
          <w:rFonts w:ascii="Arial" w:hAnsi="Arial" w:cs="Arial"/>
        </w:rPr>
      </w:pPr>
    </w:p>
    <w:p w:rsidR="009E4F66" w:rsidRDefault="009E4F66" w:rsidP="009E4F66">
      <w:pPr>
        <w:rPr>
          <w:rFonts w:ascii="Arial" w:hAnsi="Arial" w:cs="Arial"/>
        </w:rPr>
      </w:pPr>
      <w:r>
        <w:rPr>
          <w:rFonts w:ascii="Arial" w:eastAsia="Times New Roman" w:hAnsi="Arial" w:cs="Arial"/>
        </w:rPr>
        <w:t>ROLE OF CALCIUM DEPENDENT NEUROTRANSMISSION IN SELECTED POPULATIONS OF CORTICAL PROJECTION NEURONS IN</w:t>
      </w:r>
      <w:r>
        <w:rPr>
          <w:rFonts w:ascii="Arial" w:eastAsia="Times New Roman" w:hAnsi="Arial" w:cs="Arial"/>
        </w:rPr>
        <w:t xml:space="preserve"> CORTICAL DEVELOPMENT</w:t>
      </w:r>
      <w:bookmarkStart w:id="0" w:name="_GoBack"/>
      <w:bookmarkEnd w:id="0"/>
      <w:r>
        <w:rPr>
          <w:rFonts w:ascii="Arial" w:eastAsia="Times New Roman" w:hAnsi="Arial" w:cs="Arial"/>
        </w:rPr>
        <w:t>.</w:t>
      </w:r>
    </w:p>
    <w:p w:rsidR="009E4F66" w:rsidRPr="009E4F66" w:rsidRDefault="009E4F66" w:rsidP="009E4F66">
      <w:pPr>
        <w:rPr>
          <w:rFonts w:ascii="Arial" w:hAnsi="Arial" w:cs="Arial"/>
        </w:rPr>
      </w:pPr>
      <w:r w:rsidRPr="009E4F66">
        <w:rPr>
          <w:rFonts w:ascii="Arial" w:hAnsi="Arial" w:cs="Arial"/>
        </w:rPr>
        <w:t>The genes encoding proteins involved in synaptic vesicular release (members of the soluble-</w:t>
      </w:r>
      <w:r w:rsidRPr="009E4F66">
        <w:rPr>
          <w:rFonts w:ascii="Arial" w:hAnsi="Arial" w:cs="Arial"/>
          <w:i/>
          <w:iCs/>
        </w:rPr>
        <w:t>N</w:t>
      </w:r>
      <w:r w:rsidRPr="009E4F66">
        <w:rPr>
          <w:rFonts w:ascii="Arial" w:hAnsi="Arial" w:cs="Arial"/>
        </w:rPr>
        <w:t>-</w:t>
      </w:r>
      <w:proofErr w:type="spellStart"/>
      <w:r w:rsidRPr="009E4F66">
        <w:rPr>
          <w:rFonts w:ascii="Arial" w:hAnsi="Arial" w:cs="Arial"/>
        </w:rPr>
        <w:t>ethylmaleimide</w:t>
      </w:r>
      <w:proofErr w:type="spellEnd"/>
      <w:r w:rsidRPr="009E4F66">
        <w:rPr>
          <w:rFonts w:ascii="Arial" w:hAnsi="Arial" w:cs="Arial"/>
        </w:rPr>
        <w:t xml:space="preserve">-sensitive factor attachment protein (SNAP) receptor (SNARE) complex) have been implicated as susceptibility factors in autism and schizophrenia (Yang et al., 2017; </w:t>
      </w:r>
      <w:proofErr w:type="spellStart"/>
      <w:r w:rsidRPr="009E4F66">
        <w:rPr>
          <w:rFonts w:ascii="Arial" w:hAnsi="Arial" w:cs="Arial"/>
        </w:rPr>
        <w:t>Guerini</w:t>
      </w:r>
      <w:proofErr w:type="spellEnd"/>
      <w:r w:rsidRPr="009E4F66">
        <w:rPr>
          <w:rFonts w:ascii="Arial" w:hAnsi="Arial" w:cs="Arial"/>
        </w:rPr>
        <w:t xml:space="preserve"> et al., 2011; Wang et al., 2015). These cognitive conditions are accompanied by changes in the distribution and number of cortical and basal ganglia </w:t>
      </w:r>
      <w:proofErr w:type="spellStart"/>
      <w:r w:rsidRPr="009E4F66">
        <w:rPr>
          <w:rFonts w:ascii="Arial" w:hAnsi="Arial" w:cs="Arial"/>
        </w:rPr>
        <w:t>GABAergic</w:t>
      </w:r>
      <w:proofErr w:type="spellEnd"/>
      <w:r w:rsidRPr="009E4F66">
        <w:rPr>
          <w:rFonts w:ascii="Arial" w:hAnsi="Arial" w:cs="Arial"/>
        </w:rPr>
        <w:t xml:space="preserve"> interneurons (</w:t>
      </w:r>
      <w:proofErr w:type="spellStart"/>
      <w:r w:rsidRPr="009E4F66">
        <w:rPr>
          <w:rFonts w:ascii="Arial" w:hAnsi="Arial" w:cs="Arial"/>
        </w:rPr>
        <w:t>Marín</w:t>
      </w:r>
      <w:proofErr w:type="spellEnd"/>
      <w:r w:rsidRPr="009E4F66">
        <w:rPr>
          <w:rFonts w:ascii="Arial" w:hAnsi="Arial" w:cs="Arial"/>
        </w:rPr>
        <w:t xml:space="preserve"> et al., 2012). In post-mortem material of autistic and schizophrenic patients reductions in </w:t>
      </w:r>
      <w:proofErr w:type="spellStart"/>
      <w:r w:rsidRPr="009E4F66">
        <w:rPr>
          <w:rFonts w:ascii="Arial" w:hAnsi="Arial" w:cs="Arial"/>
        </w:rPr>
        <w:t>calretinin</w:t>
      </w:r>
      <w:proofErr w:type="spellEnd"/>
      <w:r w:rsidRPr="009E4F66">
        <w:rPr>
          <w:rFonts w:ascii="Arial" w:hAnsi="Arial" w:cs="Arial"/>
        </w:rPr>
        <w:t xml:space="preserve"> (CR)+ interneurons in the human caudate putamen have been reported (</w:t>
      </w:r>
      <w:proofErr w:type="spellStart"/>
      <w:r w:rsidRPr="009E4F66">
        <w:rPr>
          <w:rFonts w:ascii="Arial" w:hAnsi="Arial" w:cs="Arial"/>
        </w:rPr>
        <w:t>Adorján</w:t>
      </w:r>
      <w:proofErr w:type="spellEnd"/>
      <w:r w:rsidRPr="009E4F66">
        <w:rPr>
          <w:rFonts w:ascii="Arial" w:hAnsi="Arial" w:cs="Arial"/>
        </w:rPr>
        <w:t xml:space="preserve"> et al., 2017, 2018), but the mechanisms that lead to this are unknown. </w:t>
      </w:r>
    </w:p>
    <w:p w:rsidR="009E4F66" w:rsidRPr="009E4F66" w:rsidRDefault="009E4F66" w:rsidP="009E4F66">
      <w:pPr>
        <w:rPr>
          <w:rFonts w:ascii="Arial" w:hAnsi="Arial" w:cs="Arial"/>
        </w:rPr>
      </w:pPr>
      <w:r w:rsidRPr="009E4F66">
        <w:rPr>
          <w:rFonts w:ascii="Arial" w:hAnsi="Arial" w:cs="Arial"/>
        </w:rPr>
        <w:t xml:space="preserve">Early development of the brain depends on neuronal activity. The developing nervous system displays distinct spontaneous and sensory-driven neuronal activity patterns (Katz and </w:t>
      </w:r>
      <w:proofErr w:type="spellStart"/>
      <w:r w:rsidRPr="009E4F66">
        <w:rPr>
          <w:rFonts w:ascii="Arial" w:hAnsi="Arial" w:cs="Arial"/>
        </w:rPr>
        <w:t>Shatz</w:t>
      </w:r>
      <w:proofErr w:type="spellEnd"/>
      <w:r w:rsidRPr="009E4F66">
        <w:rPr>
          <w:rFonts w:ascii="Arial" w:hAnsi="Arial" w:cs="Arial"/>
        </w:rPr>
        <w:t xml:space="preserve">, 1996). Such activity can influence other neurons through multiple routes, with varying consequences. Decreased pyramidal cell activity through </w:t>
      </w:r>
      <w:proofErr w:type="spellStart"/>
      <w:r w:rsidRPr="009E4F66">
        <w:rPr>
          <w:rFonts w:ascii="Arial" w:hAnsi="Arial" w:cs="Arial"/>
        </w:rPr>
        <w:t>chemogenetic</w:t>
      </w:r>
      <w:proofErr w:type="spellEnd"/>
      <w:r w:rsidRPr="009E4F66">
        <w:rPr>
          <w:rFonts w:ascii="Arial" w:hAnsi="Arial" w:cs="Arial"/>
        </w:rPr>
        <w:t xml:space="preserve"> inactivation of a large group of cortical neurons promoted PV+ interneuron death </w:t>
      </w:r>
      <w:r w:rsidRPr="009E4F66">
        <w:rPr>
          <w:rFonts w:ascii="Arial" w:hAnsi="Arial" w:cs="Arial"/>
        </w:rPr>
        <w:fldChar w:fldCharType="begin" w:fldLock="1"/>
      </w:r>
      <w:r w:rsidRPr="009E4F66">
        <w:rPr>
          <w:rFonts w:ascii="Arial" w:hAnsi="Arial" w:cs="Arial"/>
        </w:rPr>
        <w:instrText>ADDIN CSL_CITATION { "citationItems" : [ { "id" : "ITEM-1", "itemData" : { "DOI" : "10.1038/s41586-018-0139-6", "ISSN" : "0028-0836", "PMID" : "29849154", "abstract" : "Complex neuronal circuitries such as those found in the mammalian cerebral cortex have evolved as balanced networks of excitatory and inhibitory neurons. Although the establishment of appropriate numbers of these cells is essential for brain function and behaviour, our understanding of this fundamental process is limited. Here we show that the survival of interneurons in mice depends on the activity of pyramidal cells in a critical window of postnatal development, during which excitatory synaptic input to individual interneurons predicts their survival or death. Pyramidal cells regulate interneuron survival through the negative modulation of PTEN signalling, which effectively drives interneuron cell death during this period. Our findings indicate that activity-dependent mechanisms dynamically adjust the number of inhibitory cells in nascent local cortical circuits, ultimately establishing the appropriate proportions of excitatory and inhibitory neurons in the cerebral cortex.", "author" : [ { "dropping-particle" : "", "family" : "Wong", "given" : "Fong Kuan", "non-dropping-particle" : "", "parse-names" : false, "suffix" : "" }, { "dropping-particle" : "", "family" : "Bercsenyi", "given" : "Kinga", "non-dropping-particle" : "", "parse-names" : false, "suffix" : "" }, { "dropping-particle" : "", "family" : "Sreenivasan", "given" : "Varun", "non-dropping-particle" : "", "parse-names" : false, "suffix" : "" }, { "dropping-particle" : "", "family" : "Portal\u00e9s", "given" : "Adri\u00e1n", "non-dropping-particle" : "", "parse-names" : false, "suffix" : "" }, { "dropping-particle" : "", "family" : "Fern\u00e1ndez-Otero", "given" : "Marian", "non-dropping-particle" : "", "parse-names" : false, "suffix" : "" }, { "dropping-particle" : "", "family" : "Mar\u00edn", "given" : "Oscar", "non-dropping-particle" : "", "parse-names" : false, "suffix" : "" } ], "container-title" : "Nature", "id" : "ITEM-1", "issue" : "7707", "issued" : { "date-parts" : [ [ "2018" ] ] }, "page" : "668-673", "title" : "Pyramidal cell regulation of interneuron survival sculpts cortical networks", "type" : "article-journal", "volume" : "557" }, "uris" : [ "http://www.mendeley.com/documents/?uuid=e8294fc8-6157-4b6a-b6c8-1870a6cc71e2" ] } ], "mendeley" : { "formattedCitation" : "(Wong et al. 2018)", "plainTextFormattedCitation" : "(Wong et al. 2018)", "previouslyFormattedCitation" : "(Wong et al. 2018)" }, "properties" : {  }, "schema" : "https://github.com/citation-style-language/schema/raw/master/csl-citation.json" }</w:instrText>
      </w:r>
      <w:r w:rsidRPr="009E4F66">
        <w:rPr>
          <w:rFonts w:ascii="Arial" w:hAnsi="Arial" w:cs="Arial"/>
        </w:rPr>
        <w:fldChar w:fldCharType="separate"/>
      </w:r>
      <w:r w:rsidRPr="009E4F66">
        <w:rPr>
          <w:rFonts w:ascii="Arial" w:hAnsi="Arial" w:cs="Arial"/>
          <w:noProof/>
        </w:rPr>
        <w:t>(Wong et al. 2018; Denaxa et al., 2018)</w:t>
      </w:r>
      <w:r w:rsidRPr="009E4F66">
        <w:rPr>
          <w:rFonts w:ascii="Arial" w:hAnsi="Arial" w:cs="Arial"/>
        </w:rPr>
        <w:fldChar w:fldCharType="end"/>
      </w:r>
      <w:r w:rsidRPr="009E4F66">
        <w:rPr>
          <w:rFonts w:ascii="Arial" w:hAnsi="Arial" w:cs="Arial"/>
        </w:rPr>
        <w:t xml:space="preserve">. These original studies were not designed to test whether the interaction between pyramidal cells and interneurons is trophic or entirely based on </w:t>
      </w:r>
      <w:proofErr w:type="spellStart"/>
      <w:r w:rsidRPr="009E4F66">
        <w:rPr>
          <w:rFonts w:ascii="Arial" w:hAnsi="Arial" w:cs="Arial"/>
        </w:rPr>
        <w:t>synaptically</w:t>
      </w:r>
      <w:proofErr w:type="spellEnd"/>
      <w:r w:rsidRPr="009E4F66">
        <w:rPr>
          <w:rFonts w:ascii="Arial" w:hAnsi="Arial" w:cs="Arial"/>
        </w:rPr>
        <w:t xml:space="preserve"> transmitted activity levels, although the latter is strongly supported by the observation that prior activity levels predict an interneuron’s likelihood of survival </w:t>
      </w:r>
      <w:r w:rsidRPr="009E4F66">
        <w:rPr>
          <w:rFonts w:ascii="Arial" w:hAnsi="Arial" w:cs="Arial"/>
        </w:rPr>
        <w:fldChar w:fldCharType="begin" w:fldLock="1"/>
      </w:r>
      <w:r w:rsidRPr="009E4F66">
        <w:rPr>
          <w:rFonts w:ascii="Arial" w:hAnsi="Arial" w:cs="Arial"/>
        </w:rPr>
        <w:instrText>ADDIN CSL_CITATION { "citationItems" : [ { "id" : "ITEM-1", "itemData" : { "DOI" : "10.1038/s41586-018-0139-6", "ISSN" : "0028-0836", "PMID" : "29849154", "abstract" : "Complex neuronal circuitries such as those found in the mammalian cerebral cortex have evolved as balanced networks of excitatory and inhibitory neurons. Although the establishment of appropriate numbers of these cells is essential for brain function and behaviour, our understanding of this fundamental process is limited. Here we show that the survival of interneurons in mice depends on the activity of pyramidal cells in a critical window of postnatal development, during which excitatory synaptic input to individual interneurons predicts their survival or death. Pyramidal cells regulate interneuron survival through the negative modulation of PTEN signalling, which effectively drives interneuron cell death during this period. Our findings indicate that activity-dependent mechanisms dynamically adjust the number of inhibitory cells in nascent local cortical circuits, ultimately establishing the appropriate proportions of excitatory and inhibitory neurons in the cerebral cortex.", "author" : [ { "dropping-particle" : "", "family" : "Wong", "given" : "Fong Kuan", "non-dropping-particle" : "", "parse-names" : false, "suffix" : "" }, { "dropping-particle" : "", "family" : "Bercsenyi", "given" : "Kinga", "non-dropping-particle" : "", "parse-names" : false, "suffix" : "" }, { "dropping-particle" : "", "family" : "Sreenivasan", "given" : "Varun", "non-dropping-particle" : "", "parse-names" : false, "suffix" : "" }, { "dropping-particle" : "", "family" : "Portal\u00e9s", "given" : "Adri\u00e1n", "non-dropping-particle" : "", "parse-names" : false, "suffix" : "" }, { "dropping-particle" : "", "family" : "Fern\u00e1ndez-Otero", "given" : "Marian", "non-dropping-particle" : "", "parse-names" : false, "suffix" : "" }, { "dropping-particle" : "", "family" : "Mar\u00edn", "given" : "Oscar", "non-dropping-particle" : "", "parse-names" : false, "suffix" : "" } ], "container-title" : "Nature", "id" : "ITEM-1", "issue" : "7707", "issued" : { "date-parts" : [ [ "2018" ] ] }, "page" : "668-673", "title" : "Pyramidal cell regulation of interneuron survival sculpts cortical networks", "type" : "article-journal", "volume" : "557" }, "uris" : [ "http://www.mendeley.com/documents/?uuid=e8294fc8-6157-4b6a-b6c8-1870a6cc71e2" ] } ], "mendeley" : { "formattedCitation" : "(Wong et al. 2018)", "plainTextFormattedCitation" : "(Wong et al. 2018)", "previouslyFormattedCitation" : "(Wong et al. 2018)" }, "properties" : {  }, "schema" : "https://github.com/citation-style-language/schema/raw/master/csl-citation.json" }</w:instrText>
      </w:r>
      <w:r w:rsidRPr="009E4F66">
        <w:rPr>
          <w:rFonts w:ascii="Arial" w:hAnsi="Arial" w:cs="Arial"/>
        </w:rPr>
        <w:fldChar w:fldCharType="separate"/>
      </w:r>
      <w:r w:rsidRPr="009E4F66">
        <w:rPr>
          <w:rFonts w:ascii="Arial" w:hAnsi="Arial" w:cs="Arial"/>
          <w:noProof/>
        </w:rPr>
        <w:t>(Wong et al. 2018)</w:t>
      </w:r>
      <w:r w:rsidRPr="009E4F66">
        <w:rPr>
          <w:rFonts w:ascii="Arial" w:hAnsi="Arial" w:cs="Arial"/>
        </w:rPr>
        <w:fldChar w:fldCharType="end"/>
      </w:r>
      <w:r w:rsidRPr="009E4F66">
        <w:rPr>
          <w:rFonts w:ascii="Arial" w:hAnsi="Arial" w:cs="Arial"/>
        </w:rPr>
        <w:t>. We wish to understand these mechanisms and link findings in mouse to human pathology.</w:t>
      </w:r>
    </w:p>
    <w:p w:rsidR="009E4F66" w:rsidRPr="009E4F66" w:rsidRDefault="009E4F66" w:rsidP="009E4F66">
      <w:pPr>
        <w:rPr>
          <w:rFonts w:ascii="Arial" w:hAnsi="Arial" w:cs="Arial"/>
        </w:rPr>
      </w:pPr>
      <w:r w:rsidRPr="009E4F66">
        <w:rPr>
          <w:rFonts w:ascii="Arial" w:hAnsi="Arial" w:cs="Arial"/>
        </w:rPr>
        <w:t>We hypothesize:</w:t>
      </w:r>
    </w:p>
    <w:p w:rsidR="009E4F66" w:rsidRPr="009E4F66" w:rsidRDefault="009E4F66" w:rsidP="009E4F66">
      <w:pPr>
        <w:rPr>
          <w:rFonts w:ascii="Arial" w:hAnsi="Arial" w:cs="Arial"/>
        </w:rPr>
      </w:pPr>
      <w:r w:rsidRPr="009E4F66">
        <w:rPr>
          <w:rFonts w:ascii="Arial" w:hAnsi="Arial" w:cs="Arial"/>
        </w:rPr>
        <w:t xml:space="preserve">1. </w:t>
      </w:r>
      <w:r w:rsidRPr="009E4F66">
        <w:rPr>
          <w:rFonts w:ascii="Arial" w:eastAsia="Times New Roman" w:hAnsi="Arial" w:cs="Arial"/>
        </w:rPr>
        <w:t xml:space="preserve">Early interactions between </w:t>
      </w:r>
      <w:proofErr w:type="spellStart"/>
      <w:r w:rsidRPr="009E4F66">
        <w:rPr>
          <w:rFonts w:ascii="Arial" w:eastAsia="Times New Roman" w:hAnsi="Arial" w:cs="Arial"/>
        </w:rPr>
        <w:t>glutamatergic</w:t>
      </w:r>
      <w:proofErr w:type="spellEnd"/>
      <w:r w:rsidRPr="009E4F66">
        <w:rPr>
          <w:rFonts w:ascii="Arial" w:eastAsia="Times New Roman" w:hAnsi="Arial" w:cs="Arial"/>
        </w:rPr>
        <w:t xml:space="preserve"> projection neurons and </w:t>
      </w:r>
      <w:proofErr w:type="spellStart"/>
      <w:r w:rsidRPr="009E4F66">
        <w:rPr>
          <w:rFonts w:ascii="Arial" w:eastAsia="Times New Roman" w:hAnsi="Arial" w:cs="Arial"/>
        </w:rPr>
        <w:t>GABAergic</w:t>
      </w:r>
      <w:proofErr w:type="spellEnd"/>
      <w:r w:rsidRPr="009E4F66">
        <w:rPr>
          <w:rFonts w:ascii="Arial" w:eastAsia="Times New Roman" w:hAnsi="Arial" w:cs="Arial"/>
        </w:rPr>
        <w:t xml:space="preserve"> neurons determine the number and distribution of </w:t>
      </w:r>
      <w:proofErr w:type="spellStart"/>
      <w:r w:rsidRPr="009E4F66">
        <w:rPr>
          <w:rFonts w:ascii="Arial" w:eastAsia="Times New Roman" w:hAnsi="Arial" w:cs="Arial"/>
        </w:rPr>
        <w:t>GABAergic</w:t>
      </w:r>
      <w:proofErr w:type="spellEnd"/>
      <w:r w:rsidRPr="009E4F66">
        <w:rPr>
          <w:rFonts w:ascii="Arial" w:eastAsia="Times New Roman" w:hAnsi="Arial" w:cs="Arial"/>
        </w:rPr>
        <w:t xml:space="preserve"> interneurons</w:t>
      </w:r>
      <w:r w:rsidRPr="009E4F66">
        <w:rPr>
          <w:rFonts w:ascii="Arial" w:hAnsi="Arial" w:cs="Arial"/>
        </w:rPr>
        <w:t xml:space="preserve">. </w:t>
      </w:r>
      <w:r w:rsidRPr="009E4F66">
        <w:rPr>
          <w:rFonts w:ascii="Arial" w:eastAsia="Times New Roman" w:hAnsi="Arial" w:cs="Arial"/>
        </w:rPr>
        <w:t xml:space="preserve">We can distinguish between trophic versus synaptic communication </w:t>
      </w:r>
      <w:r w:rsidRPr="009E4F66">
        <w:rPr>
          <w:rFonts w:ascii="Arial" w:hAnsi="Arial" w:cs="Arial"/>
        </w:rPr>
        <w:t xml:space="preserve">in our SNAP25 </w:t>
      </w:r>
      <w:proofErr w:type="spellStart"/>
      <w:r w:rsidRPr="009E4F66">
        <w:rPr>
          <w:rFonts w:ascii="Arial" w:hAnsi="Arial" w:cs="Arial"/>
        </w:rPr>
        <w:t>cKO</w:t>
      </w:r>
      <w:proofErr w:type="spellEnd"/>
      <w:r w:rsidRPr="009E4F66">
        <w:rPr>
          <w:rFonts w:ascii="Arial" w:hAnsi="Arial" w:cs="Arial"/>
        </w:rPr>
        <w:t xml:space="preserve"> mouse, in which regulated vesicular release is absent in selected populations of cortical projection neurons (layer 5,6 or 6b), but spontaneous vesicular release and constitutive neurotransmitter release is still present.</w:t>
      </w:r>
    </w:p>
    <w:p w:rsidR="009E4F66" w:rsidRPr="009E4F66" w:rsidRDefault="009E4F66" w:rsidP="009E4F66">
      <w:pPr>
        <w:rPr>
          <w:rFonts w:ascii="Arial" w:hAnsi="Arial" w:cs="Arial"/>
        </w:rPr>
      </w:pPr>
      <w:r w:rsidRPr="009E4F66">
        <w:rPr>
          <w:rFonts w:ascii="Arial" w:eastAsia="Times New Roman" w:hAnsi="Arial" w:cs="Arial"/>
        </w:rPr>
        <w:t>2. We shall</w:t>
      </w:r>
      <w:r w:rsidRPr="009E4F66">
        <w:rPr>
          <w:rFonts w:ascii="Arial" w:hAnsi="Arial" w:cs="Arial"/>
        </w:rPr>
        <w:t xml:space="preserve"> observe </w:t>
      </w:r>
      <w:r w:rsidRPr="009E4F66">
        <w:rPr>
          <w:rFonts w:ascii="Arial" w:hAnsi="Arial" w:cs="Arial"/>
          <w:i/>
        </w:rPr>
        <w:t>Snap25</w:t>
      </w:r>
      <w:r w:rsidRPr="009E4F66">
        <w:rPr>
          <w:rFonts w:ascii="Arial" w:hAnsi="Arial" w:cs="Arial"/>
        </w:rPr>
        <w:t xml:space="preserve"> polymorphisms and reduced levels of SNAP25 protein </w:t>
      </w:r>
      <w:r w:rsidRPr="009E4F66">
        <w:rPr>
          <w:rFonts w:ascii="Arial" w:eastAsia="Times New Roman" w:hAnsi="Arial" w:cs="Arial"/>
        </w:rPr>
        <w:t>i</w:t>
      </w:r>
      <w:r w:rsidRPr="009E4F66">
        <w:rPr>
          <w:rFonts w:ascii="Arial" w:hAnsi="Arial" w:cs="Arial"/>
        </w:rPr>
        <w:t xml:space="preserve">n the very same human post-mortem specimen of patients with schizophrenia or autism where reductions in </w:t>
      </w:r>
      <w:proofErr w:type="spellStart"/>
      <w:r w:rsidRPr="009E4F66">
        <w:rPr>
          <w:rFonts w:ascii="Arial" w:hAnsi="Arial" w:cs="Arial"/>
        </w:rPr>
        <w:t>GABAergic</w:t>
      </w:r>
      <w:proofErr w:type="spellEnd"/>
      <w:r w:rsidRPr="009E4F66">
        <w:rPr>
          <w:rFonts w:ascii="Arial" w:hAnsi="Arial" w:cs="Arial"/>
        </w:rPr>
        <w:t xml:space="preserve"> CR+ interneurons in the human caudate putamen have been reported (</w:t>
      </w:r>
      <w:proofErr w:type="spellStart"/>
      <w:r w:rsidRPr="009E4F66">
        <w:rPr>
          <w:rFonts w:ascii="Arial" w:hAnsi="Arial" w:cs="Arial"/>
        </w:rPr>
        <w:t>Adorján</w:t>
      </w:r>
      <w:proofErr w:type="spellEnd"/>
      <w:r w:rsidRPr="009E4F66">
        <w:rPr>
          <w:rFonts w:ascii="Arial" w:hAnsi="Arial" w:cs="Arial"/>
        </w:rPr>
        <w:t xml:space="preserve"> et al., 2017, 2018; n=24 specimen for autism and schizophrenia each).</w:t>
      </w:r>
    </w:p>
    <w:p w:rsidR="009E4F66" w:rsidRPr="009E4F66" w:rsidRDefault="009E4F66" w:rsidP="009E4F66">
      <w:pPr>
        <w:rPr>
          <w:rFonts w:ascii="Arial" w:eastAsia="Times New Roman" w:hAnsi="Arial" w:cs="Arial"/>
        </w:rPr>
      </w:pPr>
      <w:r w:rsidRPr="009E4F66">
        <w:rPr>
          <w:rFonts w:ascii="Arial" w:hAnsi="Arial" w:cs="Arial"/>
        </w:rPr>
        <w:t xml:space="preserve">3. </w:t>
      </w:r>
      <w:r w:rsidRPr="009E4F66">
        <w:rPr>
          <w:rFonts w:ascii="Arial" w:eastAsia="Times New Roman" w:hAnsi="Arial" w:cs="Arial"/>
        </w:rPr>
        <w:t xml:space="preserve">We shall find changes of CR+ or PV+ interneurons in </w:t>
      </w:r>
      <w:r w:rsidRPr="009E4F66">
        <w:rPr>
          <w:rFonts w:ascii="Arial" w:hAnsi="Arial" w:cs="Arial"/>
        </w:rPr>
        <w:t>well-established mouse models of schizophrenia such as the neuregulin-1 overexpressing mouse (</w:t>
      </w:r>
      <w:proofErr w:type="spellStart"/>
      <w:r w:rsidRPr="009E4F66">
        <w:rPr>
          <w:rFonts w:ascii="Arial" w:hAnsi="Arial" w:cs="Arial"/>
        </w:rPr>
        <w:t>Deakin</w:t>
      </w:r>
      <w:proofErr w:type="spellEnd"/>
      <w:r w:rsidRPr="009E4F66">
        <w:rPr>
          <w:rFonts w:ascii="Arial" w:hAnsi="Arial" w:cs="Arial"/>
        </w:rPr>
        <w:t xml:space="preserve"> et al., 2009), </w:t>
      </w:r>
      <w:r w:rsidRPr="009E4F66">
        <w:rPr>
          <w:rFonts w:ascii="Arial" w:eastAsia="Times New Roman" w:hAnsi="Arial" w:cs="Arial"/>
        </w:rPr>
        <w:t xml:space="preserve">since the synaptic release mechanisms have been implicated in schizophrenia and there is a change in the </w:t>
      </w:r>
      <w:proofErr w:type="spellStart"/>
      <w:r w:rsidRPr="009E4F66">
        <w:rPr>
          <w:rFonts w:ascii="Arial" w:eastAsia="Times New Roman" w:hAnsi="Arial" w:cs="Arial"/>
        </w:rPr>
        <w:t>GABAergic</w:t>
      </w:r>
      <w:proofErr w:type="spellEnd"/>
      <w:r w:rsidRPr="009E4F66">
        <w:rPr>
          <w:rFonts w:ascii="Arial" w:eastAsia="Times New Roman" w:hAnsi="Arial" w:cs="Arial"/>
        </w:rPr>
        <w:t xml:space="preserve"> interneuron numbers and distribution in human basal ganglia and cortex</w:t>
      </w:r>
      <w:r w:rsidRPr="009E4F66">
        <w:rPr>
          <w:rFonts w:ascii="Arial" w:hAnsi="Arial" w:cs="Arial"/>
        </w:rPr>
        <w:t>.</w:t>
      </w:r>
    </w:p>
    <w:p w:rsidR="009E4F66" w:rsidRPr="009E4F66" w:rsidRDefault="009E4F66" w:rsidP="009E4F66">
      <w:r w:rsidRPr="009E4F66">
        <w:rPr>
          <w:rFonts w:ascii="Arial" w:hAnsi="Arial" w:cs="Arial"/>
        </w:rPr>
        <w:lastRenderedPageBreak/>
        <w:t xml:space="preserve">This research will address several open questions raised by recently published experiments and may provide a mechanistic link between abnormalities in SNARE proteins and interneuron number and distribution which are both observed in human cases of autism and schizophrenia. </w:t>
      </w:r>
    </w:p>
    <w:p w:rsidR="000F1E04" w:rsidRDefault="000F1E04"/>
    <w:sectPr w:rsidR="000F1E04" w:rsidSect="006016C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66"/>
    <w:rsid w:val="000F1E04"/>
    <w:rsid w:val="006016C3"/>
    <w:rsid w:val="009E4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5DD7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66"/>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4F66"/>
    <w:rPr>
      <w:sz w:val="18"/>
      <w:szCs w:val="18"/>
    </w:rPr>
  </w:style>
  <w:style w:type="paragraph" w:styleId="CommentText">
    <w:name w:val="annotation text"/>
    <w:basedOn w:val="Normal"/>
    <w:link w:val="CommentTextChar"/>
    <w:uiPriority w:val="99"/>
    <w:semiHidden/>
    <w:unhideWhenUsed/>
    <w:rsid w:val="009E4F66"/>
    <w:pPr>
      <w:spacing w:line="240" w:lineRule="auto"/>
    </w:pPr>
    <w:rPr>
      <w:sz w:val="24"/>
      <w:szCs w:val="24"/>
    </w:rPr>
  </w:style>
  <w:style w:type="character" w:customStyle="1" w:styleId="CommentTextChar">
    <w:name w:val="Comment Text Char"/>
    <w:basedOn w:val="DefaultParagraphFont"/>
    <w:link w:val="CommentText"/>
    <w:uiPriority w:val="99"/>
    <w:semiHidden/>
    <w:rsid w:val="009E4F66"/>
    <w:rPr>
      <w:rFonts w:eastAsiaTheme="minorHAnsi"/>
      <w:lang w:val="en-GB"/>
    </w:rPr>
  </w:style>
  <w:style w:type="character" w:styleId="Hyperlink">
    <w:name w:val="Hyperlink"/>
    <w:basedOn w:val="DefaultParagraphFont"/>
    <w:uiPriority w:val="99"/>
    <w:unhideWhenUsed/>
    <w:rsid w:val="009E4F66"/>
    <w:rPr>
      <w:color w:val="0000FF" w:themeColor="hyperlink"/>
      <w:u w:val="single"/>
    </w:rPr>
  </w:style>
  <w:style w:type="paragraph" w:customStyle="1" w:styleId="desc">
    <w:name w:val="desc"/>
    <w:basedOn w:val="Normal"/>
    <w:rsid w:val="009E4F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9E4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9E4F66"/>
  </w:style>
  <w:style w:type="paragraph" w:styleId="Title">
    <w:name w:val="Title"/>
    <w:basedOn w:val="Normal"/>
    <w:link w:val="TitleChar"/>
    <w:uiPriority w:val="10"/>
    <w:qFormat/>
    <w:rsid w:val="009E4F66"/>
    <w:pPr>
      <w:spacing w:before="100" w:beforeAutospacing="1" w:after="100" w:afterAutospacing="1" w:line="240" w:lineRule="auto"/>
    </w:pPr>
    <w:rPr>
      <w:rFonts w:ascii="Times New Roman" w:hAnsi="Times New Roman" w:cs="Times New Roman"/>
      <w:sz w:val="20"/>
      <w:szCs w:val="20"/>
    </w:rPr>
  </w:style>
  <w:style w:type="character" w:customStyle="1" w:styleId="TitleChar">
    <w:name w:val="Title Char"/>
    <w:basedOn w:val="DefaultParagraphFont"/>
    <w:link w:val="Title"/>
    <w:uiPriority w:val="10"/>
    <w:rsid w:val="009E4F66"/>
    <w:rPr>
      <w:rFonts w:ascii="Times New Roman" w:eastAsiaTheme="minorHAnsi" w:hAnsi="Times New Roman" w:cs="Times New Roman"/>
      <w:sz w:val="20"/>
      <w:szCs w:val="20"/>
      <w:lang w:val="en-GB"/>
    </w:rPr>
  </w:style>
  <w:style w:type="character" w:customStyle="1" w:styleId="apple-converted-space">
    <w:name w:val="apple-converted-space"/>
    <w:basedOn w:val="DefaultParagraphFont"/>
    <w:rsid w:val="009E4F66"/>
  </w:style>
  <w:style w:type="paragraph" w:styleId="BalloonText">
    <w:name w:val="Balloon Text"/>
    <w:basedOn w:val="Normal"/>
    <w:link w:val="BalloonTextChar"/>
    <w:uiPriority w:val="99"/>
    <w:semiHidden/>
    <w:unhideWhenUsed/>
    <w:rsid w:val="009E4F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F66"/>
    <w:rPr>
      <w:rFonts w:ascii="Lucida Grande" w:eastAsiaTheme="minorHAnsi"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66"/>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4F66"/>
    <w:rPr>
      <w:sz w:val="18"/>
      <w:szCs w:val="18"/>
    </w:rPr>
  </w:style>
  <w:style w:type="paragraph" w:styleId="CommentText">
    <w:name w:val="annotation text"/>
    <w:basedOn w:val="Normal"/>
    <w:link w:val="CommentTextChar"/>
    <w:uiPriority w:val="99"/>
    <w:semiHidden/>
    <w:unhideWhenUsed/>
    <w:rsid w:val="009E4F66"/>
    <w:pPr>
      <w:spacing w:line="240" w:lineRule="auto"/>
    </w:pPr>
    <w:rPr>
      <w:sz w:val="24"/>
      <w:szCs w:val="24"/>
    </w:rPr>
  </w:style>
  <w:style w:type="character" w:customStyle="1" w:styleId="CommentTextChar">
    <w:name w:val="Comment Text Char"/>
    <w:basedOn w:val="DefaultParagraphFont"/>
    <w:link w:val="CommentText"/>
    <w:uiPriority w:val="99"/>
    <w:semiHidden/>
    <w:rsid w:val="009E4F66"/>
    <w:rPr>
      <w:rFonts w:eastAsiaTheme="minorHAnsi"/>
      <w:lang w:val="en-GB"/>
    </w:rPr>
  </w:style>
  <w:style w:type="character" w:styleId="Hyperlink">
    <w:name w:val="Hyperlink"/>
    <w:basedOn w:val="DefaultParagraphFont"/>
    <w:uiPriority w:val="99"/>
    <w:unhideWhenUsed/>
    <w:rsid w:val="009E4F66"/>
    <w:rPr>
      <w:color w:val="0000FF" w:themeColor="hyperlink"/>
      <w:u w:val="single"/>
    </w:rPr>
  </w:style>
  <w:style w:type="paragraph" w:customStyle="1" w:styleId="desc">
    <w:name w:val="desc"/>
    <w:basedOn w:val="Normal"/>
    <w:rsid w:val="009E4F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9E4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9E4F66"/>
  </w:style>
  <w:style w:type="paragraph" w:styleId="Title">
    <w:name w:val="Title"/>
    <w:basedOn w:val="Normal"/>
    <w:link w:val="TitleChar"/>
    <w:uiPriority w:val="10"/>
    <w:qFormat/>
    <w:rsid w:val="009E4F66"/>
    <w:pPr>
      <w:spacing w:before="100" w:beforeAutospacing="1" w:after="100" w:afterAutospacing="1" w:line="240" w:lineRule="auto"/>
    </w:pPr>
    <w:rPr>
      <w:rFonts w:ascii="Times New Roman" w:hAnsi="Times New Roman" w:cs="Times New Roman"/>
      <w:sz w:val="20"/>
      <w:szCs w:val="20"/>
    </w:rPr>
  </w:style>
  <w:style w:type="character" w:customStyle="1" w:styleId="TitleChar">
    <w:name w:val="Title Char"/>
    <w:basedOn w:val="DefaultParagraphFont"/>
    <w:link w:val="Title"/>
    <w:uiPriority w:val="10"/>
    <w:rsid w:val="009E4F66"/>
    <w:rPr>
      <w:rFonts w:ascii="Times New Roman" w:eastAsiaTheme="minorHAnsi" w:hAnsi="Times New Roman" w:cs="Times New Roman"/>
      <w:sz w:val="20"/>
      <w:szCs w:val="20"/>
      <w:lang w:val="en-GB"/>
    </w:rPr>
  </w:style>
  <w:style w:type="character" w:customStyle="1" w:styleId="apple-converted-space">
    <w:name w:val="apple-converted-space"/>
    <w:basedOn w:val="DefaultParagraphFont"/>
    <w:rsid w:val="009E4F66"/>
  </w:style>
  <w:style w:type="paragraph" w:styleId="BalloonText">
    <w:name w:val="Balloon Text"/>
    <w:basedOn w:val="Normal"/>
    <w:link w:val="BalloonTextChar"/>
    <w:uiPriority w:val="99"/>
    <w:semiHidden/>
    <w:unhideWhenUsed/>
    <w:rsid w:val="009E4F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F66"/>
    <w:rPr>
      <w:rFonts w:ascii="Lucida Grande" w:eastAsiaTheme="minorHAns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1278</Words>
  <Characters>7285</Characters>
  <Application>Microsoft Macintosh Word</Application>
  <DocSecurity>0</DocSecurity>
  <Lines>60</Lines>
  <Paragraphs>17</Paragraphs>
  <ScaleCrop>false</ScaleCrop>
  <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Zoltan Molnar</dc:creator>
  <cp:keywords/>
  <dc:description/>
  <cp:lastModifiedBy>Zoltan Molnar</cp:lastModifiedBy>
  <cp:revision>1</cp:revision>
  <dcterms:created xsi:type="dcterms:W3CDTF">2020-08-03T14:02:00Z</dcterms:created>
  <dcterms:modified xsi:type="dcterms:W3CDTF">2020-08-03T14:05:00Z</dcterms:modified>
</cp:coreProperties>
</file>